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sz w:val="72"/>
          <w:szCs w:val="72"/>
        </w:rPr>
        <w:id w:val="1878614713"/>
        <w:docPartObj>
          <w:docPartGallery w:val="Cover Pages"/>
          <w:docPartUnique/>
        </w:docPartObj>
      </w:sdtPr>
      <w:sdtEndPr>
        <w:rPr>
          <w:rFonts w:asciiTheme="minorHAnsi" w:eastAsiaTheme="minorHAnsi" w:hAnsiTheme="minorHAnsi" w:cstheme="minorBidi"/>
          <w:sz w:val="36"/>
          <w:szCs w:val="36"/>
          <w:lang w:eastAsia="en-GB"/>
        </w:rPr>
      </w:sdtEndPr>
      <w:sdtContent>
        <w:p w14:paraId="4AADA102" w14:textId="77777777" w:rsidR="00EB5687" w:rsidRPr="002573C8" w:rsidRDefault="00570153">
          <w:pPr>
            <w:pStyle w:val="NoSpacing"/>
            <w:rPr>
              <w:rFonts w:asciiTheme="majorHAnsi" w:eastAsiaTheme="majorEastAsia" w:hAnsiTheme="majorHAnsi" w:cstheme="majorBidi"/>
              <w:sz w:val="72"/>
              <w:szCs w:val="72"/>
            </w:rPr>
          </w:pPr>
          <w:r w:rsidRPr="002573C8">
            <w:rPr>
              <w:rFonts w:asciiTheme="majorHAnsi" w:eastAsiaTheme="majorEastAsia" w:hAnsiTheme="majorHAnsi" w:cstheme="majorBidi"/>
              <w:noProof/>
              <w:sz w:val="72"/>
              <w:szCs w:val="72"/>
              <w:lang w:eastAsia="en-GB"/>
            </w:rPr>
            <w:drawing>
              <wp:anchor distT="0" distB="0" distL="114300" distR="114300" simplePos="0" relativeHeight="251658752" behindDoc="0" locked="0" layoutInCell="1" allowOverlap="1" wp14:anchorId="4AADA285" wp14:editId="4AADA286">
                <wp:simplePos x="0" y="0"/>
                <wp:positionH relativeFrom="column">
                  <wp:posOffset>-929469</wp:posOffset>
                </wp:positionH>
                <wp:positionV relativeFrom="paragraph">
                  <wp:posOffset>-962167</wp:posOffset>
                </wp:positionV>
                <wp:extent cx="7582753" cy="10747612"/>
                <wp:effectExtent l="19050" t="0" r="0" b="0"/>
                <wp:wrapNone/>
                <wp:docPr id="2" name="Picture 1" descr="Teachers eligibility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s eligibility cover.jpg"/>
                        <pic:cNvPicPr/>
                      </pic:nvPicPr>
                      <pic:blipFill>
                        <a:blip r:embed="rId9"/>
                        <a:stretch>
                          <a:fillRect/>
                        </a:stretch>
                      </pic:blipFill>
                      <pic:spPr>
                        <a:xfrm>
                          <a:off x="0" y="0"/>
                          <a:ext cx="7582753" cy="10747612"/>
                        </a:xfrm>
                        <a:prstGeom prst="rect">
                          <a:avLst/>
                        </a:prstGeom>
                      </pic:spPr>
                    </pic:pic>
                  </a:graphicData>
                </a:graphic>
              </wp:anchor>
            </w:drawing>
          </w:r>
        </w:p>
        <w:p w14:paraId="4AADA103" w14:textId="77777777" w:rsidR="00EB5687" w:rsidRPr="002573C8" w:rsidRDefault="00EB5687">
          <w:pPr>
            <w:pStyle w:val="NoSpacing"/>
            <w:rPr>
              <w:rFonts w:asciiTheme="majorHAnsi" w:eastAsiaTheme="majorEastAsia" w:hAnsiTheme="majorHAnsi" w:cstheme="majorBidi"/>
              <w:sz w:val="72"/>
              <w:szCs w:val="72"/>
            </w:rPr>
          </w:pPr>
        </w:p>
        <w:p w14:paraId="4AADA104" w14:textId="77777777" w:rsidR="00EB5687" w:rsidRPr="002573C8" w:rsidRDefault="00EB5687">
          <w:pPr>
            <w:pStyle w:val="NoSpacing"/>
            <w:rPr>
              <w:rFonts w:asciiTheme="majorHAnsi" w:eastAsiaTheme="majorEastAsia" w:hAnsiTheme="majorHAnsi" w:cstheme="majorBidi"/>
              <w:sz w:val="36"/>
              <w:szCs w:val="36"/>
            </w:rPr>
          </w:pPr>
        </w:p>
        <w:p w14:paraId="4AADA105" w14:textId="77777777" w:rsidR="00EB5687" w:rsidRPr="002573C8" w:rsidRDefault="00EB5687">
          <w:pPr>
            <w:pStyle w:val="NoSpacing"/>
            <w:rPr>
              <w:rFonts w:asciiTheme="majorHAnsi" w:eastAsiaTheme="majorEastAsia" w:hAnsiTheme="majorHAnsi" w:cstheme="majorBidi"/>
              <w:sz w:val="36"/>
              <w:szCs w:val="36"/>
            </w:rPr>
          </w:pPr>
        </w:p>
        <w:p w14:paraId="4AADA106" w14:textId="77777777" w:rsidR="00EB5687" w:rsidRPr="002573C8" w:rsidRDefault="00EB5687">
          <w:pPr>
            <w:pStyle w:val="NoSpacing"/>
            <w:rPr>
              <w:rFonts w:asciiTheme="majorHAnsi" w:eastAsiaTheme="majorEastAsia" w:hAnsiTheme="majorHAnsi" w:cstheme="majorBidi"/>
              <w:sz w:val="36"/>
              <w:szCs w:val="36"/>
            </w:rPr>
          </w:pPr>
        </w:p>
        <w:p w14:paraId="4AADA107" w14:textId="77777777" w:rsidR="00EB5687" w:rsidRPr="002573C8" w:rsidRDefault="00EB5687">
          <w:pPr>
            <w:pStyle w:val="NoSpacing"/>
          </w:pPr>
        </w:p>
        <w:p w14:paraId="4AADA108" w14:textId="77777777" w:rsidR="00EB5687" w:rsidRPr="002573C8" w:rsidRDefault="00EB5687">
          <w:pPr>
            <w:pStyle w:val="NoSpacing"/>
          </w:pPr>
        </w:p>
        <w:p w14:paraId="4AADA109" w14:textId="77777777" w:rsidR="00EB5687" w:rsidRPr="002573C8" w:rsidRDefault="00EB5687">
          <w:pPr>
            <w:pStyle w:val="NoSpacing"/>
          </w:pPr>
        </w:p>
        <w:p w14:paraId="4AADA10A" w14:textId="77777777" w:rsidR="00EB5687" w:rsidRPr="002573C8" w:rsidRDefault="00000000"/>
      </w:sdtContent>
    </w:sdt>
    <w:p w14:paraId="4AADA10B" w14:textId="77777777" w:rsidR="008F0D34" w:rsidRPr="002573C8" w:rsidRDefault="008F0D34">
      <w:pPr>
        <w:rPr>
          <w:sz w:val="36"/>
          <w:szCs w:val="36"/>
          <w:lang w:eastAsia="en-GB"/>
        </w:rPr>
      </w:pPr>
      <w:r w:rsidRPr="002573C8">
        <w:rPr>
          <w:sz w:val="36"/>
          <w:szCs w:val="36"/>
          <w:lang w:eastAsia="en-GB"/>
        </w:rPr>
        <w:br w:type="page"/>
      </w:r>
    </w:p>
    <w:p w14:paraId="4AADA10C" w14:textId="77777777" w:rsidR="00A830F9" w:rsidRPr="002573C8" w:rsidRDefault="00000000">
      <w:pPr>
        <w:rPr>
          <w:sz w:val="36"/>
          <w:szCs w:val="36"/>
          <w:lang w:eastAsia="en-GB"/>
        </w:rPr>
      </w:pPr>
      <w:r>
        <w:rPr>
          <w:noProof/>
          <w:sz w:val="36"/>
          <w:szCs w:val="36"/>
          <w:lang w:eastAsia="en-GB"/>
        </w:rPr>
        <w:lastRenderedPageBreak/>
        <w:pict w14:anchorId="4AADA287">
          <v:rect id="_x0000_s2056" style="position:absolute;margin-left:-24.7pt;margin-top:-53.2pt;width:500.75pt;height:60.2pt;z-index:251665408" stroked="f"/>
        </w:pict>
      </w:r>
    </w:p>
    <w:p w14:paraId="4AADA10D" w14:textId="77777777" w:rsidR="00A830F9" w:rsidRPr="002573C8" w:rsidRDefault="00A830F9">
      <w:pPr>
        <w:rPr>
          <w:sz w:val="36"/>
          <w:szCs w:val="36"/>
          <w:lang w:eastAsia="en-GB"/>
        </w:rPr>
      </w:pPr>
    </w:p>
    <w:p w14:paraId="4AADA10E" w14:textId="77777777" w:rsidR="00A830F9" w:rsidRPr="002573C8" w:rsidRDefault="00A830F9">
      <w:pPr>
        <w:rPr>
          <w:sz w:val="36"/>
          <w:szCs w:val="36"/>
          <w:lang w:eastAsia="en-GB"/>
        </w:rPr>
      </w:pPr>
    </w:p>
    <w:p w14:paraId="4AADA10F" w14:textId="77777777" w:rsidR="00A830F9" w:rsidRPr="002573C8" w:rsidRDefault="00A830F9">
      <w:pPr>
        <w:rPr>
          <w:sz w:val="36"/>
          <w:szCs w:val="36"/>
          <w:lang w:eastAsia="en-GB"/>
        </w:rPr>
      </w:pPr>
    </w:p>
    <w:p w14:paraId="4AADA110" w14:textId="77777777" w:rsidR="00A830F9" w:rsidRPr="002573C8" w:rsidRDefault="00A830F9">
      <w:pPr>
        <w:rPr>
          <w:sz w:val="36"/>
          <w:szCs w:val="36"/>
          <w:lang w:eastAsia="en-GB"/>
        </w:rPr>
      </w:pPr>
    </w:p>
    <w:p w14:paraId="4AADA111" w14:textId="77777777" w:rsidR="00A830F9" w:rsidRPr="002573C8" w:rsidRDefault="00A830F9">
      <w:pPr>
        <w:rPr>
          <w:sz w:val="36"/>
          <w:szCs w:val="36"/>
          <w:lang w:eastAsia="en-GB"/>
        </w:rPr>
      </w:pPr>
    </w:p>
    <w:p w14:paraId="4AADA112" w14:textId="77777777" w:rsidR="00A830F9" w:rsidRPr="002573C8" w:rsidRDefault="00A830F9">
      <w:pPr>
        <w:rPr>
          <w:sz w:val="36"/>
          <w:szCs w:val="36"/>
          <w:lang w:eastAsia="en-GB"/>
        </w:rPr>
      </w:pPr>
    </w:p>
    <w:p w14:paraId="4AADA113" w14:textId="77777777" w:rsidR="00A830F9" w:rsidRPr="002573C8" w:rsidRDefault="00A830F9">
      <w:pPr>
        <w:rPr>
          <w:sz w:val="36"/>
          <w:szCs w:val="36"/>
          <w:lang w:eastAsia="en-GB"/>
        </w:rPr>
      </w:pPr>
    </w:p>
    <w:p w14:paraId="4AADA114" w14:textId="77777777" w:rsidR="00A830F9" w:rsidRPr="002573C8" w:rsidRDefault="00A830F9">
      <w:pPr>
        <w:rPr>
          <w:sz w:val="36"/>
          <w:szCs w:val="36"/>
          <w:lang w:eastAsia="en-GB"/>
        </w:rPr>
      </w:pPr>
    </w:p>
    <w:p w14:paraId="4AADA115" w14:textId="77777777" w:rsidR="00A830F9" w:rsidRPr="002573C8" w:rsidRDefault="00A830F9">
      <w:pPr>
        <w:rPr>
          <w:sz w:val="36"/>
          <w:szCs w:val="36"/>
          <w:lang w:eastAsia="en-GB"/>
        </w:rPr>
      </w:pPr>
    </w:p>
    <w:p w14:paraId="4AADA116" w14:textId="77777777" w:rsidR="00A830F9" w:rsidRPr="002573C8" w:rsidRDefault="00A830F9">
      <w:pPr>
        <w:rPr>
          <w:sz w:val="36"/>
          <w:szCs w:val="36"/>
          <w:lang w:eastAsia="en-GB"/>
        </w:rPr>
      </w:pPr>
    </w:p>
    <w:p w14:paraId="4AADA117" w14:textId="77777777" w:rsidR="00A830F9" w:rsidRPr="002573C8" w:rsidRDefault="00A830F9">
      <w:pPr>
        <w:rPr>
          <w:sz w:val="36"/>
          <w:szCs w:val="36"/>
          <w:lang w:eastAsia="en-GB"/>
        </w:rPr>
      </w:pPr>
    </w:p>
    <w:p w14:paraId="4AADA118" w14:textId="77777777" w:rsidR="00A830F9" w:rsidRPr="002573C8" w:rsidRDefault="00A830F9">
      <w:pPr>
        <w:rPr>
          <w:sz w:val="36"/>
          <w:szCs w:val="36"/>
          <w:lang w:eastAsia="en-GB"/>
        </w:rPr>
      </w:pPr>
    </w:p>
    <w:p w14:paraId="4AADA119" w14:textId="77777777" w:rsidR="00A830F9" w:rsidRPr="002573C8" w:rsidRDefault="00A830F9">
      <w:pPr>
        <w:rPr>
          <w:sz w:val="36"/>
          <w:szCs w:val="36"/>
          <w:lang w:eastAsia="en-GB"/>
        </w:rPr>
      </w:pPr>
    </w:p>
    <w:p w14:paraId="4AADA11A" w14:textId="77777777" w:rsidR="00A830F9" w:rsidRPr="002573C8" w:rsidRDefault="00A830F9">
      <w:pPr>
        <w:rPr>
          <w:sz w:val="36"/>
          <w:szCs w:val="36"/>
          <w:lang w:eastAsia="en-GB"/>
        </w:rPr>
      </w:pPr>
    </w:p>
    <w:p w14:paraId="4AADA11B" w14:textId="77777777" w:rsidR="00A830F9" w:rsidRPr="002573C8" w:rsidRDefault="00A830F9">
      <w:pPr>
        <w:rPr>
          <w:sz w:val="36"/>
          <w:szCs w:val="36"/>
          <w:lang w:eastAsia="en-GB"/>
        </w:rPr>
      </w:pPr>
    </w:p>
    <w:p w14:paraId="4AADA11C" w14:textId="77777777" w:rsidR="00A830F9" w:rsidRPr="002573C8" w:rsidRDefault="00A830F9">
      <w:pPr>
        <w:rPr>
          <w:sz w:val="36"/>
          <w:szCs w:val="36"/>
          <w:lang w:eastAsia="en-GB"/>
        </w:rPr>
      </w:pPr>
    </w:p>
    <w:p w14:paraId="4AADA11D" w14:textId="77777777" w:rsidR="00A830F9" w:rsidRPr="002573C8" w:rsidRDefault="00A830F9">
      <w:pPr>
        <w:rPr>
          <w:sz w:val="36"/>
          <w:szCs w:val="36"/>
          <w:lang w:eastAsia="en-GB"/>
        </w:rPr>
      </w:pPr>
    </w:p>
    <w:p w14:paraId="4AADA11E" w14:textId="77777777" w:rsidR="00A830F9" w:rsidRPr="002573C8" w:rsidRDefault="00000000">
      <w:pPr>
        <w:rPr>
          <w:sz w:val="36"/>
          <w:szCs w:val="36"/>
          <w:lang w:eastAsia="en-GB"/>
        </w:rPr>
      </w:pPr>
      <w:r>
        <w:rPr>
          <w:noProof/>
          <w:sz w:val="36"/>
          <w:szCs w:val="36"/>
          <w:lang w:eastAsia="en-GB"/>
        </w:rPr>
        <w:pict w14:anchorId="4AADA288">
          <v:rect id="_x0000_s2057" style="position:absolute;margin-left:-27.95pt;margin-top:39.15pt;width:500.75pt;height:60.2pt;z-index:251666432" stroked="f"/>
        </w:pict>
      </w:r>
    </w:p>
    <w:p w14:paraId="4AADA11F" w14:textId="77777777" w:rsidR="0009261D" w:rsidRPr="002573C8" w:rsidRDefault="00000000" w:rsidP="0009261D">
      <w:pPr>
        <w:rPr>
          <w:sz w:val="52"/>
          <w:szCs w:val="52"/>
          <w:lang w:val="mt-MT"/>
        </w:rPr>
      </w:pPr>
      <w:r>
        <w:rPr>
          <w:noProof/>
          <w:sz w:val="52"/>
          <w:szCs w:val="52"/>
          <w:lang w:eastAsia="en-GB"/>
        </w:rPr>
        <w:lastRenderedPageBreak/>
        <w:pict w14:anchorId="4AADA289">
          <v:rect id="_x0000_s2050" style="position:absolute;margin-left:-59.25pt;margin-top:-48.65pt;width:570.05pt;height:69.1pt;z-index:251657215" stroked="f"/>
        </w:pict>
      </w:r>
    </w:p>
    <w:p w14:paraId="4AADA120" w14:textId="77777777" w:rsidR="0009261D" w:rsidRPr="002573C8" w:rsidRDefault="0009261D" w:rsidP="0009261D">
      <w:pPr>
        <w:jc w:val="both"/>
        <w:rPr>
          <w:b/>
        </w:rPr>
      </w:pPr>
      <w:r w:rsidRPr="002573C8">
        <w:rPr>
          <w:b/>
          <w:noProof/>
          <w:lang w:eastAsia="en-GB"/>
        </w:rPr>
        <w:drawing>
          <wp:anchor distT="0" distB="0" distL="114300" distR="114300" simplePos="0" relativeHeight="251659776" behindDoc="0" locked="0" layoutInCell="1" allowOverlap="1" wp14:anchorId="4AADA28A" wp14:editId="4AADA28B">
            <wp:simplePos x="0" y="0"/>
            <wp:positionH relativeFrom="column">
              <wp:posOffset>5114925</wp:posOffset>
            </wp:positionH>
            <wp:positionV relativeFrom="paragraph">
              <wp:posOffset>-1057275</wp:posOffset>
            </wp:positionV>
            <wp:extent cx="990600" cy="762000"/>
            <wp:effectExtent l="19050" t="0" r="0" b="0"/>
            <wp:wrapNone/>
            <wp:docPr id="1" name="Picture 1" descr="MF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M 2.png"/>
                    <pic:cNvPicPr/>
                  </pic:nvPicPr>
                  <pic:blipFill>
                    <a:blip r:embed="rId10"/>
                    <a:stretch>
                      <a:fillRect/>
                    </a:stretch>
                  </pic:blipFill>
                  <pic:spPr>
                    <a:xfrm>
                      <a:off x="0" y="0"/>
                      <a:ext cx="990600" cy="762000"/>
                    </a:xfrm>
                    <a:prstGeom prst="rect">
                      <a:avLst/>
                    </a:prstGeom>
                  </pic:spPr>
                </pic:pic>
              </a:graphicData>
            </a:graphic>
          </wp:anchor>
        </w:drawing>
      </w:r>
    </w:p>
    <w:p w14:paraId="4AADA121" w14:textId="77777777" w:rsidR="0009261D" w:rsidRPr="002573C8" w:rsidRDefault="0009261D" w:rsidP="0009261D">
      <w:pPr>
        <w:jc w:val="both"/>
        <w:rPr>
          <w:b/>
        </w:rPr>
      </w:pPr>
    </w:p>
    <w:p w14:paraId="4AADA122" w14:textId="77777777" w:rsidR="0009261D" w:rsidRPr="002573C8" w:rsidRDefault="0009261D" w:rsidP="0009261D">
      <w:pPr>
        <w:jc w:val="both"/>
        <w:rPr>
          <w:b/>
        </w:rPr>
      </w:pPr>
    </w:p>
    <w:p w14:paraId="4AADA123" w14:textId="77777777" w:rsidR="0009261D" w:rsidRPr="002573C8" w:rsidRDefault="0009261D" w:rsidP="0009261D">
      <w:pPr>
        <w:jc w:val="both"/>
        <w:rPr>
          <w:b/>
        </w:rPr>
      </w:pPr>
    </w:p>
    <w:p w14:paraId="4AADA124" w14:textId="77777777" w:rsidR="0009261D" w:rsidRPr="0046433B" w:rsidRDefault="0009261D" w:rsidP="0009261D">
      <w:pPr>
        <w:jc w:val="both"/>
        <w:rPr>
          <w:b/>
          <w:color w:val="BFBFBF" w:themeColor="background1" w:themeShade="BF"/>
        </w:rPr>
      </w:pPr>
    </w:p>
    <w:p w14:paraId="4AADA125" w14:textId="77777777" w:rsidR="0009261D" w:rsidRPr="0046433B" w:rsidRDefault="0009261D" w:rsidP="00131A8F">
      <w:pPr>
        <w:pStyle w:val="NoSpacing"/>
        <w:rPr>
          <w:color w:val="BFBFBF" w:themeColor="background1" w:themeShade="BF"/>
        </w:rPr>
      </w:pPr>
      <w:r w:rsidRPr="0046433B">
        <w:rPr>
          <w:color w:val="BFBFBF" w:themeColor="background1" w:themeShade="BF"/>
        </w:rPr>
        <w:t>Medina Foundation for Music</w:t>
      </w:r>
    </w:p>
    <w:p w14:paraId="4AADA126" w14:textId="77777777" w:rsidR="0009261D" w:rsidRPr="0046433B" w:rsidRDefault="00C9280E" w:rsidP="0009261D">
      <w:pPr>
        <w:rPr>
          <w:b/>
          <w:color w:val="BFBFBF" w:themeColor="background1" w:themeShade="BF"/>
          <w:sz w:val="56"/>
          <w:szCs w:val="56"/>
          <w:lang w:val="mt-MT"/>
        </w:rPr>
      </w:pPr>
      <w:r w:rsidRPr="0046433B">
        <w:rPr>
          <w:b/>
          <w:color w:val="BFBFBF" w:themeColor="background1" w:themeShade="BF"/>
          <w:sz w:val="56"/>
          <w:szCs w:val="56"/>
          <w:lang w:val="mt-MT"/>
        </w:rPr>
        <w:t>Teacher Eligibility</w:t>
      </w:r>
      <w:r w:rsidR="0009261D" w:rsidRPr="0046433B">
        <w:rPr>
          <w:b/>
          <w:color w:val="BFBFBF" w:themeColor="background1" w:themeShade="BF"/>
          <w:sz w:val="56"/>
          <w:szCs w:val="56"/>
          <w:lang w:val="mt-MT"/>
        </w:rPr>
        <w:t xml:space="preserve"> Policy</w:t>
      </w:r>
    </w:p>
    <w:p w14:paraId="4AADA127" w14:textId="77777777" w:rsidR="0009261D" w:rsidRPr="0046433B" w:rsidRDefault="0009261D" w:rsidP="0009261D">
      <w:pPr>
        <w:rPr>
          <w:color w:val="BFBFBF" w:themeColor="background1" w:themeShade="BF"/>
          <w:sz w:val="36"/>
          <w:szCs w:val="36"/>
          <w:lang w:val="mt-MT"/>
        </w:rPr>
      </w:pPr>
      <w:r w:rsidRPr="0046433B">
        <w:rPr>
          <w:color w:val="BFBFBF" w:themeColor="background1" w:themeShade="BF"/>
          <w:sz w:val="36"/>
          <w:szCs w:val="36"/>
          <w:lang w:val="mt-MT"/>
        </w:rPr>
        <w:t xml:space="preserve">                 </w:t>
      </w:r>
    </w:p>
    <w:p w14:paraId="4AADA128" w14:textId="77777777" w:rsidR="00C9280E" w:rsidRPr="002573C8" w:rsidRDefault="00C9280E" w:rsidP="0009261D">
      <w:pPr>
        <w:rPr>
          <w:lang w:val="mt-MT"/>
        </w:rPr>
      </w:pPr>
    </w:p>
    <w:p w14:paraId="4AADA129" w14:textId="77777777" w:rsidR="0009261D" w:rsidRPr="002573C8" w:rsidRDefault="0009261D" w:rsidP="0009261D">
      <w:pPr>
        <w:jc w:val="both"/>
        <w:rPr>
          <w:b/>
        </w:rPr>
      </w:pPr>
    </w:p>
    <w:p w14:paraId="4AADA12A" w14:textId="77777777" w:rsidR="0009261D" w:rsidRPr="002573C8" w:rsidRDefault="0009261D" w:rsidP="0009261D">
      <w:pPr>
        <w:jc w:val="both"/>
        <w:rPr>
          <w:b/>
        </w:rPr>
      </w:pPr>
    </w:p>
    <w:p w14:paraId="4AADA12B" w14:textId="77777777" w:rsidR="0009261D" w:rsidRPr="002573C8" w:rsidRDefault="0009261D" w:rsidP="0009261D">
      <w:pPr>
        <w:jc w:val="both"/>
        <w:rPr>
          <w:b/>
        </w:rPr>
      </w:pPr>
    </w:p>
    <w:p w14:paraId="4AADA12C" w14:textId="77777777" w:rsidR="00E876C8" w:rsidRDefault="00E876C8" w:rsidP="00E876C8">
      <w:pPr>
        <w:jc w:val="both"/>
        <w:rPr>
          <w:b/>
        </w:rPr>
      </w:pPr>
      <w:r>
        <w:rPr>
          <w:b/>
        </w:rPr>
        <w:t xml:space="preserve">       </w:t>
      </w:r>
      <w:r>
        <w:rPr>
          <w:b/>
        </w:rPr>
        <w:tab/>
      </w:r>
      <w:r>
        <w:rPr>
          <w:b/>
        </w:rPr>
        <w:tab/>
      </w:r>
      <w:r>
        <w:rPr>
          <w:b/>
        </w:rPr>
        <w:tab/>
      </w:r>
      <w:r>
        <w:rPr>
          <w:b/>
        </w:rPr>
        <w:tab/>
      </w:r>
      <w:r>
        <w:rPr>
          <w:b/>
        </w:rPr>
        <w:tab/>
      </w:r>
      <w:r>
        <w:rPr>
          <w:b/>
        </w:rPr>
        <w:tab/>
        <w:t xml:space="preserve">       </w:t>
      </w:r>
    </w:p>
    <w:p w14:paraId="4AADA12D" w14:textId="77777777" w:rsidR="00E876C8" w:rsidRDefault="00E876C8" w:rsidP="00E876C8">
      <w:pPr>
        <w:jc w:val="both"/>
        <w:rPr>
          <w:b/>
        </w:rPr>
      </w:pPr>
    </w:p>
    <w:p w14:paraId="4AADA12E" w14:textId="77777777" w:rsidR="00E876C8" w:rsidRDefault="00E876C8" w:rsidP="00E876C8">
      <w:pPr>
        <w:ind w:left="3600" w:firstLine="720"/>
        <w:jc w:val="both"/>
        <w:rPr>
          <w:b/>
        </w:rPr>
      </w:pPr>
      <w:r>
        <w:rPr>
          <w:b/>
        </w:rPr>
        <w:t xml:space="preserve">        Published by the Medina Foundation for Music</w:t>
      </w:r>
    </w:p>
    <w:p w14:paraId="4AADA12F" w14:textId="77777777" w:rsidR="00E876C8" w:rsidRDefault="00E876C8" w:rsidP="00E876C8">
      <w:pPr>
        <w:pStyle w:val="NoSpacing"/>
        <w:jc w:val="right"/>
        <w:rPr>
          <w:b/>
          <w:color w:val="C00000"/>
        </w:rPr>
      </w:pPr>
      <w:r>
        <w:rPr>
          <w:b/>
          <w:color w:val="C00000"/>
        </w:rPr>
        <w:t>Contributions:</w:t>
      </w:r>
    </w:p>
    <w:p w14:paraId="4AADA130" w14:textId="77777777" w:rsidR="00E876C8" w:rsidRDefault="00E876C8" w:rsidP="00E876C8">
      <w:pPr>
        <w:pStyle w:val="NoSpacing"/>
        <w:jc w:val="right"/>
      </w:pPr>
      <w:r>
        <w:t>Mark Agius</w:t>
      </w:r>
    </w:p>
    <w:p w14:paraId="4AADA132" w14:textId="77777777" w:rsidR="00E876C8" w:rsidRDefault="00E876C8" w:rsidP="00E876C8">
      <w:pPr>
        <w:pStyle w:val="NoSpacing"/>
        <w:jc w:val="right"/>
        <w:rPr>
          <w:b/>
          <w:color w:val="C00000"/>
        </w:rPr>
      </w:pPr>
      <w:r>
        <w:rPr>
          <w:b/>
          <w:color w:val="C00000"/>
        </w:rPr>
        <w:t xml:space="preserve">   </w:t>
      </w:r>
    </w:p>
    <w:p w14:paraId="4AADA133" w14:textId="77777777" w:rsidR="00E876C8" w:rsidRDefault="00E876C8" w:rsidP="00E876C8">
      <w:pPr>
        <w:pStyle w:val="NoSpacing"/>
        <w:jc w:val="right"/>
        <w:rPr>
          <w:b/>
          <w:color w:val="C00000"/>
        </w:rPr>
      </w:pPr>
      <w:r>
        <w:rPr>
          <w:b/>
          <w:color w:val="C00000"/>
        </w:rPr>
        <w:t>Acknowledgements:</w:t>
      </w:r>
    </w:p>
    <w:p w14:paraId="4AADA134" w14:textId="77777777" w:rsidR="00E876C8" w:rsidRDefault="00E876C8" w:rsidP="00E876C8">
      <w:pPr>
        <w:pStyle w:val="NoSpacing"/>
        <w:jc w:val="right"/>
      </w:pPr>
      <w:proofErr w:type="spellStart"/>
      <w:r>
        <w:t>Jahel</w:t>
      </w:r>
      <w:proofErr w:type="spellEnd"/>
      <w:r>
        <w:t xml:space="preserve"> </w:t>
      </w:r>
      <w:proofErr w:type="spellStart"/>
      <w:r>
        <w:t>Sammut</w:t>
      </w:r>
      <w:proofErr w:type="spellEnd"/>
    </w:p>
    <w:p w14:paraId="4AADA135" w14:textId="77777777" w:rsidR="00E876C8" w:rsidRDefault="00E876C8" w:rsidP="00E876C8">
      <w:pPr>
        <w:pStyle w:val="NoSpacing"/>
        <w:jc w:val="right"/>
      </w:pPr>
      <w:r>
        <w:t>Joseph Schembri</w:t>
      </w:r>
    </w:p>
    <w:p w14:paraId="4AADA136" w14:textId="77777777" w:rsidR="00E876C8" w:rsidRDefault="00E876C8" w:rsidP="00E876C8">
      <w:pPr>
        <w:pStyle w:val="NoSpacing"/>
        <w:jc w:val="right"/>
      </w:pPr>
      <w:proofErr w:type="spellStart"/>
      <w:r>
        <w:t>Ninette</w:t>
      </w:r>
      <w:proofErr w:type="spellEnd"/>
      <w:r>
        <w:t xml:space="preserve"> </w:t>
      </w:r>
      <w:proofErr w:type="spellStart"/>
      <w:r>
        <w:t>Sammut</w:t>
      </w:r>
      <w:proofErr w:type="spellEnd"/>
    </w:p>
    <w:p w14:paraId="4AADA137" w14:textId="77777777" w:rsidR="00E876C8" w:rsidRDefault="00E876C8" w:rsidP="00E876C8">
      <w:pPr>
        <w:pStyle w:val="NoSpacing"/>
        <w:jc w:val="right"/>
      </w:pPr>
      <w:r>
        <w:t>National Commission for Further and Higher Education</w:t>
      </w:r>
    </w:p>
    <w:p w14:paraId="4AADA138" w14:textId="77777777" w:rsidR="00E876C8" w:rsidRDefault="00E876C8" w:rsidP="00E876C8">
      <w:pPr>
        <w:pStyle w:val="NoSpacing"/>
        <w:jc w:val="right"/>
      </w:pPr>
    </w:p>
    <w:p w14:paraId="4AADA139" w14:textId="77777777" w:rsidR="00E876C8" w:rsidRDefault="00E876C8" w:rsidP="00E876C8">
      <w:pPr>
        <w:pStyle w:val="NoSpacing"/>
        <w:jc w:val="right"/>
        <w:rPr>
          <w:b/>
          <w:color w:val="C00000"/>
        </w:rPr>
      </w:pPr>
      <w:r>
        <w:rPr>
          <w:b/>
          <w:color w:val="C00000"/>
        </w:rPr>
        <w:t>Setting and Design:</w:t>
      </w:r>
    </w:p>
    <w:p w14:paraId="4AADA13A" w14:textId="77777777" w:rsidR="00E876C8" w:rsidRDefault="00E876C8" w:rsidP="00E876C8">
      <w:pPr>
        <w:pStyle w:val="NoSpacing"/>
        <w:jc w:val="right"/>
      </w:pPr>
      <w:r>
        <w:t>Mark Agius</w:t>
      </w:r>
    </w:p>
    <w:p w14:paraId="4AADA13B" w14:textId="77777777" w:rsidR="00E876C8" w:rsidRDefault="00E876C8" w:rsidP="00E876C8">
      <w:pPr>
        <w:pStyle w:val="NoSpacing"/>
        <w:jc w:val="right"/>
        <w:rPr>
          <w:b/>
          <w:color w:val="C00000"/>
        </w:rPr>
      </w:pPr>
    </w:p>
    <w:p w14:paraId="4AADA13C" w14:textId="39E54A95" w:rsidR="00E876C8" w:rsidRDefault="00974231" w:rsidP="00E876C8">
      <w:pPr>
        <w:pStyle w:val="NoSpacing"/>
        <w:jc w:val="right"/>
      </w:pPr>
      <w:r>
        <w:rPr>
          <w:b/>
          <w:color w:val="C00000"/>
        </w:rPr>
        <w:t xml:space="preserve">Review and </w:t>
      </w:r>
      <w:r w:rsidR="00E876C8">
        <w:rPr>
          <w:b/>
          <w:color w:val="C00000"/>
        </w:rPr>
        <w:t>Editing:</w:t>
      </w:r>
      <w:r w:rsidR="00E876C8">
        <w:t xml:space="preserve"> </w:t>
      </w:r>
    </w:p>
    <w:p w14:paraId="4AADA13D" w14:textId="071ACEAC" w:rsidR="00E876C8" w:rsidRDefault="00E876C8" w:rsidP="00E876C8">
      <w:pPr>
        <w:pStyle w:val="NoSpacing"/>
        <w:jc w:val="right"/>
      </w:pPr>
      <w:r>
        <w:t xml:space="preserve">Karen </w:t>
      </w:r>
      <w:proofErr w:type="spellStart"/>
      <w:r>
        <w:t>Darmenia</w:t>
      </w:r>
      <w:proofErr w:type="spellEnd"/>
    </w:p>
    <w:p w14:paraId="170071CF" w14:textId="77777777" w:rsidR="00974231" w:rsidRPr="006D482F" w:rsidRDefault="00974231" w:rsidP="00E876C8">
      <w:pPr>
        <w:pStyle w:val="NoSpacing"/>
        <w:jc w:val="right"/>
      </w:pPr>
    </w:p>
    <w:p w14:paraId="4AADA13E" w14:textId="77777777" w:rsidR="0009261D" w:rsidRPr="00E876C8" w:rsidRDefault="0009261D" w:rsidP="00E876C8">
      <w:pPr>
        <w:pStyle w:val="NoSpacing"/>
        <w:rPr>
          <w:b/>
        </w:rPr>
      </w:pPr>
    </w:p>
    <w:p w14:paraId="4AADA13F" w14:textId="77777777" w:rsidR="0009261D" w:rsidRPr="002573C8" w:rsidRDefault="00000000" w:rsidP="004F0442">
      <w:pPr>
        <w:jc w:val="both"/>
        <w:rPr>
          <w:sz w:val="36"/>
          <w:szCs w:val="36"/>
          <w:lang w:eastAsia="en-GB"/>
        </w:rPr>
      </w:pPr>
      <w:r>
        <w:rPr>
          <w:noProof/>
          <w:lang w:eastAsia="en-GB"/>
        </w:rPr>
        <w:pict w14:anchorId="4AADA28C">
          <v:rect id="_x0000_s2051" style="position:absolute;left:0;text-align:left;margin-left:-59.25pt;margin-top:25.2pt;width:570.05pt;height:69.1pt;z-index:251662336" stroked="f"/>
        </w:pict>
      </w:r>
    </w:p>
    <w:p w14:paraId="4AADA140" w14:textId="77777777" w:rsidR="0009261D" w:rsidRPr="002573C8" w:rsidRDefault="00000000" w:rsidP="004F0442">
      <w:pPr>
        <w:jc w:val="both"/>
        <w:rPr>
          <w:sz w:val="36"/>
          <w:szCs w:val="36"/>
          <w:lang w:eastAsia="en-GB"/>
        </w:rPr>
      </w:pPr>
      <w:r>
        <w:rPr>
          <w:noProof/>
          <w:sz w:val="36"/>
          <w:szCs w:val="36"/>
          <w:lang w:eastAsia="en-GB"/>
        </w:rPr>
        <w:lastRenderedPageBreak/>
        <w:pict w14:anchorId="4AADA28D">
          <v:rect id="_x0000_s2055" style="position:absolute;left:0;text-align:left;margin-left:-59.4pt;margin-top:-50.8pt;width:570.05pt;height:69.1pt;z-index:251664384" stroked="f"/>
        </w:pict>
      </w:r>
    </w:p>
    <w:p w14:paraId="4AADA141" w14:textId="77777777" w:rsidR="0009261D" w:rsidRPr="002573C8" w:rsidRDefault="0009261D" w:rsidP="004F0442">
      <w:pPr>
        <w:jc w:val="both"/>
        <w:rPr>
          <w:sz w:val="36"/>
          <w:szCs w:val="36"/>
          <w:lang w:eastAsia="en-GB"/>
        </w:rPr>
      </w:pPr>
    </w:p>
    <w:p w14:paraId="4AADA142" w14:textId="77777777" w:rsidR="0009261D" w:rsidRPr="002573C8" w:rsidRDefault="0009261D" w:rsidP="004F0442">
      <w:pPr>
        <w:jc w:val="both"/>
        <w:rPr>
          <w:sz w:val="36"/>
          <w:szCs w:val="36"/>
          <w:lang w:eastAsia="en-GB"/>
        </w:rPr>
      </w:pPr>
    </w:p>
    <w:p w14:paraId="4AADA143" w14:textId="77777777" w:rsidR="0009261D" w:rsidRPr="002573C8" w:rsidRDefault="0009261D" w:rsidP="004F0442">
      <w:pPr>
        <w:jc w:val="both"/>
        <w:rPr>
          <w:sz w:val="36"/>
          <w:szCs w:val="36"/>
          <w:lang w:eastAsia="en-GB"/>
        </w:rPr>
      </w:pPr>
    </w:p>
    <w:p w14:paraId="4AADA144" w14:textId="77777777" w:rsidR="0009261D" w:rsidRPr="002573C8" w:rsidRDefault="0009261D" w:rsidP="004F0442">
      <w:pPr>
        <w:jc w:val="both"/>
        <w:rPr>
          <w:sz w:val="36"/>
          <w:szCs w:val="36"/>
          <w:lang w:eastAsia="en-GB"/>
        </w:rPr>
      </w:pPr>
    </w:p>
    <w:p w14:paraId="4AADA145" w14:textId="77777777" w:rsidR="0009261D" w:rsidRPr="002573C8" w:rsidRDefault="0009261D" w:rsidP="004F0442">
      <w:pPr>
        <w:jc w:val="both"/>
        <w:rPr>
          <w:sz w:val="36"/>
          <w:szCs w:val="36"/>
          <w:lang w:eastAsia="en-GB"/>
        </w:rPr>
      </w:pPr>
    </w:p>
    <w:p w14:paraId="4AADA146" w14:textId="77777777" w:rsidR="0009261D" w:rsidRPr="002573C8" w:rsidRDefault="0009261D" w:rsidP="004F0442">
      <w:pPr>
        <w:jc w:val="both"/>
        <w:rPr>
          <w:sz w:val="36"/>
          <w:szCs w:val="36"/>
          <w:lang w:eastAsia="en-GB"/>
        </w:rPr>
      </w:pPr>
    </w:p>
    <w:p w14:paraId="4AADA147" w14:textId="77777777" w:rsidR="0009261D" w:rsidRPr="002573C8" w:rsidRDefault="0009261D" w:rsidP="004F0442">
      <w:pPr>
        <w:jc w:val="both"/>
        <w:rPr>
          <w:sz w:val="36"/>
          <w:szCs w:val="36"/>
          <w:lang w:eastAsia="en-GB"/>
        </w:rPr>
      </w:pPr>
    </w:p>
    <w:p w14:paraId="4AADA148" w14:textId="77777777" w:rsidR="0009261D" w:rsidRPr="002573C8" w:rsidRDefault="0009261D" w:rsidP="004F0442">
      <w:pPr>
        <w:jc w:val="both"/>
        <w:rPr>
          <w:sz w:val="36"/>
          <w:szCs w:val="36"/>
          <w:lang w:eastAsia="en-GB"/>
        </w:rPr>
      </w:pPr>
    </w:p>
    <w:p w14:paraId="4AADA149" w14:textId="77777777" w:rsidR="0009261D" w:rsidRPr="002573C8" w:rsidRDefault="0009261D" w:rsidP="004F0442">
      <w:pPr>
        <w:jc w:val="both"/>
        <w:rPr>
          <w:sz w:val="36"/>
          <w:szCs w:val="36"/>
          <w:lang w:eastAsia="en-GB"/>
        </w:rPr>
      </w:pPr>
    </w:p>
    <w:p w14:paraId="4AADA14A" w14:textId="77777777" w:rsidR="0009261D" w:rsidRPr="002573C8" w:rsidRDefault="00000000" w:rsidP="004F0442">
      <w:pPr>
        <w:jc w:val="both"/>
        <w:rPr>
          <w:sz w:val="36"/>
          <w:szCs w:val="36"/>
          <w:lang w:eastAsia="en-GB"/>
        </w:rPr>
      </w:pPr>
      <w:r>
        <w:rPr>
          <w:noProof/>
          <w:sz w:val="36"/>
          <w:szCs w:val="36"/>
          <w:lang w:eastAsia="en-GB"/>
        </w:rPr>
        <w:pict w14:anchorId="4AADA28E">
          <v:rect id="_x0000_s2054" style="position:absolute;left:0;text-align:left;margin-left:-59.4pt;margin-top:330.7pt;width:570.05pt;height:69.1pt;z-index:251663360" stroked="f"/>
        </w:pict>
      </w:r>
    </w:p>
    <w:p w14:paraId="4AADA14B" w14:textId="77777777" w:rsidR="0009261D" w:rsidRPr="002573C8" w:rsidRDefault="0009261D" w:rsidP="004F0442">
      <w:pPr>
        <w:jc w:val="both"/>
        <w:rPr>
          <w:sz w:val="36"/>
          <w:szCs w:val="36"/>
          <w:lang w:eastAsia="en-GB"/>
        </w:rPr>
      </w:pPr>
    </w:p>
    <w:p w14:paraId="4AADA14C" w14:textId="77777777" w:rsidR="0009261D" w:rsidRPr="002573C8" w:rsidRDefault="0009261D" w:rsidP="004F0442">
      <w:pPr>
        <w:jc w:val="both"/>
        <w:rPr>
          <w:sz w:val="36"/>
          <w:szCs w:val="36"/>
          <w:lang w:eastAsia="en-GB"/>
        </w:rPr>
      </w:pPr>
    </w:p>
    <w:p w14:paraId="4AADA14D" w14:textId="77777777" w:rsidR="0009261D" w:rsidRPr="002573C8" w:rsidRDefault="0009261D" w:rsidP="004F0442">
      <w:pPr>
        <w:jc w:val="both"/>
        <w:rPr>
          <w:sz w:val="36"/>
          <w:szCs w:val="36"/>
          <w:lang w:eastAsia="en-GB"/>
        </w:rPr>
      </w:pPr>
    </w:p>
    <w:p w14:paraId="4AADA14E" w14:textId="77777777" w:rsidR="0009261D" w:rsidRPr="002573C8" w:rsidRDefault="0009261D" w:rsidP="004F0442">
      <w:pPr>
        <w:jc w:val="both"/>
        <w:rPr>
          <w:sz w:val="36"/>
          <w:szCs w:val="36"/>
          <w:lang w:eastAsia="en-GB"/>
        </w:rPr>
      </w:pPr>
    </w:p>
    <w:p w14:paraId="4AADA14F" w14:textId="77777777" w:rsidR="0009261D" w:rsidRPr="002573C8" w:rsidRDefault="0009261D" w:rsidP="004F0442">
      <w:pPr>
        <w:jc w:val="both"/>
        <w:rPr>
          <w:sz w:val="36"/>
          <w:szCs w:val="36"/>
          <w:lang w:eastAsia="en-GB"/>
        </w:rPr>
      </w:pPr>
    </w:p>
    <w:p w14:paraId="4AADA150" w14:textId="77777777" w:rsidR="0009261D" w:rsidRPr="002573C8" w:rsidRDefault="0009261D" w:rsidP="004F0442">
      <w:pPr>
        <w:jc w:val="both"/>
        <w:rPr>
          <w:sz w:val="36"/>
          <w:szCs w:val="36"/>
          <w:lang w:eastAsia="en-GB"/>
        </w:rPr>
      </w:pPr>
    </w:p>
    <w:p w14:paraId="4AADA151" w14:textId="77777777" w:rsidR="0009261D" w:rsidRPr="002573C8" w:rsidRDefault="0009261D" w:rsidP="004F0442">
      <w:pPr>
        <w:jc w:val="both"/>
        <w:rPr>
          <w:sz w:val="36"/>
          <w:szCs w:val="36"/>
          <w:lang w:eastAsia="en-GB"/>
        </w:rPr>
      </w:pPr>
    </w:p>
    <w:p w14:paraId="4AADA152" w14:textId="77777777" w:rsidR="0009261D" w:rsidRPr="002573C8" w:rsidRDefault="0009261D" w:rsidP="004F0442">
      <w:pPr>
        <w:jc w:val="both"/>
        <w:rPr>
          <w:sz w:val="36"/>
          <w:szCs w:val="36"/>
          <w:lang w:eastAsia="en-GB"/>
        </w:rPr>
      </w:pPr>
    </w:p>
    <w:p w14:paraId="4AADA153" w14:textId="77777777" w:rsidR="0009261D" w:rsidRPr="002573C8" w:rsidRDefault="0009261D" w:rsidP="004F0442">
      <w:pPr>
        <w:jc w:val="both"/>
        <w:rPr>
          <w:sz w:val="36"/>
          <w:szCs w:val="36"/>
          <w:lang w:eastAsia="en-GB"/>
        </w:rPr>
      </w:pPr>
    </w:p>
    <w:p w14:paraId="4AADA154" w14:textId="77777777" w:rsidR="00B9422E" w:rsidRPr="002573C8" w:rsidRDefault="00B9422E" w:rsidP="00B9422E">
      <w:pPr>
        <w:jc w:val="both"/>
        <w:rPr>
          <w:b/>
          <w:lang w:val="mt-MT"/>
        </w:rPr>
      </w:pPr>
      <w:r w:rsidRPr="002573C8">
        <w:rPr>
          <w:b/>
          <w:lang w:val="mt-MT"/>
        </w:rPr>
        <w:lastRenderedPageBreak/>
        <w:t>Table Of Contents</w:t>
      </w:r>
      <w:r w:rsidRPr="002573C8">
        <w:rPr>
          <w:b/>
          <w:lang w:val="mt-MT"/>
        </w:rPr>
        <w:tab/>
      </w:r>
      <w:r w:rsidRPr="002573C8">
        <w:rPr>
          <w:b/>
          <w:lang w:val="mt-MT"/>
        </w:rPr>
        <w:tab/>
      </w:r>
      <w:r w:rsidRPr="002573C8">
        <w:rPr>
          <w:b/>
          <w:lang w:val="mt-MT"/>
        </w:rPr>
        <w:tab/>
      </w:r>
      <w:r w:rsidRPr="002573C8">
        <w:rPr>
          <w:b/>
          <w:lang w:val="mt-MT"/>
        </w:rPr>
        <w:tab/>
      </w:r>
      <w:r w:rsidRPr="002573C8">
        <w:rPr>
          <w:b/>
          <w:lang w:val="mt-MT"/>
        </w:rPr>
        <w:tab/>
      </w:r>
      <w:r w:rsidRPr="002573C8">
        <w:rPr>
          <w:b/>
          <w:lang w:val="mt-MT"/>
        </w:rPr>
        <w:tab/>
      </w:r>
      <w:r w:rsidRPr="002573C8">
        <w:rPr>
          <w:b/>
          <w:lang w:val="mt-MT"/>
        </w:rPr>
        <w:tab/>
      </w:r>
      <w:r w:rsidRPr="002573C8">
        <w:rPr>
          <w:b/>
          <w:lang w:val="mt-MT"/>
        </w:rPr>
        <w:tab/>
      </w:r>
      <w:r w:rsidRPr="002573C8">
        <w:rPr>
          <w:b/>
          <w:lang w:val="mt-MT"/>
        </w:rPr>
        <w:tab/>
        <w:t>Page</w:t>
      </w:r>
    </w:p>
    <w:p w14:paraId="4AADA155" w14:textId="77777777" w:rsidR="0052279F" w:rsidRDefault="0052279F" w:rsidP="00B9422E">
      <w:pPr>
        <w:pStyle w:val="NoSpacing"/>
        <w:rPr>
          <w:lang w:eastAsia="en-GB"/>
        </w:rPr>
      </w:pPr>
      <w:r>
        <w:rPr>
          <w:lang w:eastAsia="en-GB"/>
        </w:rPr>
        <w:t>Policy</w:t>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t xml:space="preserve"> 15</w:t>
      </w:r>
      <w:r w:rsidR="0008723A" w:rsidRPr="002573C8">
        <w:rPr>
          <w:lang w:eastAsia="en-GB"/>
        </w:rPr>
        <w:t>7</w:t>
      </w:r>
    </w:p>
    <w:p w14:paraId="4AADA156" w14:textId="77777777" w:rsidR="002573C8" w:rsidRDefault="002573C8" w:rsidP="00B9422E">
      <w:pPr>
        <w:pStyle w:val="NoSpacing"/>
        <w:rPr>
          <w:lang w:eastAsia="en-GB"/>
        </w:rPr>
      </w:pPr>
      <w:r>
        <w:rPr>
          <w:lang w:eastAsia="en-GB"/>
        </w:rPr>
        <w:t>Agr</w:t>
      </w:r>
      <w:r w:rsidR="0052279F">
        <w:rPr>
          <w:lang w:eastAsia="en-GB"/>
        </w:rPr>
        <w:t>eement of Partnership</w:t>
      </w:r>
      <w:r w:rsidR="0052279F">
        <w:rPr>
          <w:lang w:eastAsia="en-GB"/>
        </w:rPr>
        <w:tab/>
      </w:r>
      <w:r w:rsidR="0052279F">
        <w:rPr>
          <w:lang w:eastAsia="en-GB"/>
        </w:rPr>
        <w:tab/>
      </w:r>
      <w:r w:rsidR="0052279F">
        <w:rPr>
          <w:lang w:eastAsia="en-GB"/>
        </w:rPr>
        <w:tab/>
      </w:r>
      <w:r w:rsidR="0052279F">
        <w:rPr>
          <w:lang w:eastAsia="en-GB"/>
        </w:rPr>
        <w:tab/>
      </w:r>
      <w:r w:rsidR="0052279F">
        <w:rPr>
          <w:lang w:eastAsia="en-GB"/>
        </w:rPr>
        <w:tab/>
      </w:r>
      <w:r w:rsidR="0052279F">
        <w:rPr>
          <w:lang w:eastAsia="en-GB"/>
        </w:rPr>
        <w:tab/>
      </w:r>
      <w:r w:rsidR="0052279F">
        <w:rPr>
          <w:lang w:eastAsia="en-GB"/>
        </w:rPr>
        <w:tab/>
      </w:r>
      <w:r w:rsidR="0052279F">
        <w:rPr>
          <w:lang w:eastAsia="en-GB"/>
        </w:rPr>
        <w:tab/>
        <w:t xml:space="preserve"> 162</w:t>
      </w:r>
    </w:p>
    <w:p w14:paraId="4AADA157" w14:textId="77777777" w:rsidR="00B9422E" w:rsidRPr="006621E8" w:rsidRDefault="00B9422E" w:rsidP="006621E8">
      <w:pPr>
        <w:pStyle w:val="NoSpacing"/>
        <w:jc w:val="both"/>
        <w:rPr>
          <w:b/>
          <w:sz w:val="24"/>
          <w:szCs w:val="24"/>
          <w:lang w:eastAsia="en-GB"/>
        </w:rPr>
      </w:pPr>
      <w:r w:rsidRPr="002573C8">
        <w:rPr>
          <w:lang w:eastAsia="en-GB"/>
        </w:rPr>
        <w:t>Appendix</w:t>
      </w:r>
      <w:r w:rsidR="006621E8">
        <w:rPr>
          <w:lang w:eastAsia="en-GB"/>
        </w:rPr>
        <w:t>: Communication to Licensed Further and Higher Education Institutions</w:t>
      </w:r>
      <w:r w:rsidRPr="002573C8">
        <w:rPr>
          <w:lang w:eastAsia="en-GB"/>
        </w:rPr>
        <w:tab/>
      </w:r>
      <w:r w:rsidRPr="002573C8">
        <w:rPr>
          <w:lang w:eastAsia="en-GB"/>
        </w:rPr>
        <w:tab/>
        <w:t xml:space="preserve"> 1</w:t>
      </w:r>
      <w:r w:rsidR="0052279F">
        <w:rPr>
          <w:lang w:eastAsia="en-GB"/>
        </w:rPr>
        <w:t>63</w:t>
      </w:r>
    </w:p>
    <w:p w14:paraId="4AADA158" w14:textId="77777777" w:rsidR="00B9422E" w:rsidRPr="002573C8" w:rsidRDefault="0052279F" w:rsidP="00B9422E">
      <w:pPr>
        <w:pStyle w:val="NoSpacing"/>
        <w:rPr>
          <w:lang w:eastAsia="en-GB"/>
        </w:rPr>
      </w:pPr>
      <w:r>
        <w:rPr>
          <w:lang w:eastAsia="en-GB"/>
        </w:rPr>
        <w:t>References</w:t>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t xml:space="preserve"> 16</w:t>
      </w:r>
      <w:r w:rsidR="00AA2914">
        <w:rPr>
          <w:lang w:eastAsia="en-GB"/>
        </w:rPr>
        <w:t>5</w:t>
      </w:r>
    </w:p>
    <w:p w14:paraId="4AADA159" w14:textId="77777777" w:rsidR="00B9422E" w:rsidRPr="002573C8" w:rsidRDefault="00B9422E" w:rsidP="004F0442">
      <w:pPr>
        <w:jc w:val="both"/>
        <w:rPr>
          <w:lang w:eastAsia="en-GB"/>
        </w:rPr>
      </w:pPr>
    </w:p>
    <w:p w14:paraId="4AADA15A" w14:textId="77777777" w:rsidR="00B9422E" w:rsidRPr="002573C8" w:rsidRDefault="00B9422E" w:rsidP="004F0442">
      <w:pPr>
        <w:jc w:val="both"/>
        <w:rPr>
          <w:lang w:eastAsia="en-GB"/>
        </w:rPr>
      </w:pPr>
    </w:p>
    <w:p w14:paraId="4AADA15B" w14:textId="77777777" w:rsidR="00B9422E" w:rsidRPr="002573C8" w:rsidRDefault="00B9422E" w:rsidP="004F0442">
      <w:pPr>
        <w:jc w:val="both"/>
        <w:rPr>
          <w:lang w:eastAsia="en-GB"/>
        </w:rPr>
      </w:pPr>
    </w:p>
    <w:p w14:paraId="4AADA15C" w14:textId="77777777" w:rsidR="00B9422E" w:rsidRPr="002573C8" w:rsidRDefault="00B9422E" w:rsidP="004F0442">
      <w:pPr>
        <w:jc w:val="both"/>
        <w:rPr>
          <w:lang w:eastAsia="en-GB"/>
        </w:rPr>
      </w:pPr>
    </w:p>
    <w:p w14:paraId="4AADA15D" w14:textId="77777777" w:rsidR="00B9422E" w:rsidRPr="002573C8" w:rsidRDefault="00B9422E" w:rsidP="004F0442">
      <w:pPr>
        <w:jc w:val="both"/>
        <w:rPr>
          <w:lang w:eastAsia="en-GB"/>
        </w:rPr>
      </w:pPr>
    </w:p>
    <w:p w14:paraId="4AADA15E" w14:textId="77777777" w:rsidR="00B9422E" w:rsidRPr="002573C8" w:rsidRDefault="00B9422E" w:rsidP="004F0442">
      <w:pPr>
        <w:jc w:val="both"/>
        <w:rPr>
          <w:lang w:eastAsia="en-GB"/>
        </w:rPr>
      </w:pPr>
    </w:p>
    <w:p w14:paraId="4AADA15F" w14:textId="77777777" w:rsidR="00B9422E" w:rsidRPr="002573C8" w:rsidRDefault="00B9422E" w:rsidP="004F0442">
      <w:pPr>
        <w:jc w:val="both"/>
        <w:rPr>
          <w:lang w:eastAsia="en-GB"/>
        </w:rPr>
      </w:pPr>
    </w:p>
    <w:p w14:paraId="4AADA160" w14:textId="77777777" w:rsidR="00B9422E" w:rsidRPr="002573C8" w:rsidRDefault="00B9422E" w:rsidP="004F0442">
      <w:pPr>
        <w:jc w:val="both"/>
        <w:rPr>
          <w:lang w:eastAsia="en-GB"/>
        </w:rPr>
      </w:pPr>
    </w:p>
    <w:p w14:paraId="4AADA161" w14:textId="77777777" w:rsidR="00B9422E" w:rsidRPr="002573C8" w:rsidRDefault="00B9422E" w:rsidP="004F0442">
      <w:pPr>
        <w:jc w:val="both"/>
        <w:rPr>
          <w:lang w:eastAsia="en-GB"/>
        </w:rPr>
      </w:pPr>
    </w:p>
    <w:p w14:paraId="4AADA162" w14:textId="77777777" w:rsidR="00B9422E" w:rsidRPr="002573C8" w:rsidRDefault="00B9422E" w:rsidP="004F0442">
      <w:pPr>
        <w:jc w:val="both"/>
        <w:rPr>
          <w:lang w:eastAsia="en-GB"/>
        </w:rPr>
      </w:pPr>
    </w:p>
    <w:p w14:paraId="4AADA163" w14:textId="77777777" w:rsidR="00B9422E" w:rsidRPr="002573C8" w:rsidRDefault="00B9422E" w:rsidP="004F0442">
      <w:pPr>
        <w:jc w:val="both"/>
        <w:rPr>
          <w:lang w:eastAsia="en-GB"/>
        </w:rPr>
      </w:pPr>
    </w:p>
    <w:p w14:paraId="4AADA164" w14:textId="77777777" w:rsidR="00B9422E" w:rsidRPr="002573C8" w:rsidRDefault="00B9422E" w:rsidP="004F0442">
      <w:pPr>
        <w:jc w:val="both"/>
        <w:rPr>
          <w:lang w:eastAsia="en-GB"/>
        </w:rPr>
      </w:pPr>
    </w:p>
    <w:p w14:paraId="4AADA165" w14:textId="77777777" w:rsidR="00B9422E" w:rsidRPr="002573C8" w:rsidRDefault="00B9422E" w:rsidP="004F0442">
      <w:pPr>
        <w:jc w:val="both"/>
        <w:rPr>
          <w:lang w:eastAsia="en-GB"/>
        </w:rPr>
      </w:pPr>
    </w:p>
    <w:p w14:paraId="4AADA166" w14:textId="77777777" w:rsidR="00B9422E" w:rsidRPr="002573C8" w:rsidRDefault="00B9422E" w:rsidP="004F0442">
      <w:pPr>
        <w:jc w:val="both"/>
        <w:rPr>
          <w:lang w:eastAsia="en-GB"/>
        </w:rPr>
      </w:pPr>
    </w:p>
    <w:p w14:paraId="4AADA167" w14:textId="77777777" w:rsidR="00B9422E" w:rsidRPr="002573C8" w:rsidRDefault="00B9422E" w:rsidP="004F0442">
      <w:pPr>
        <w:jc w:val="both"/>
        <w:rPr>
          <w:lang w:eastAsia="en-GB"/>
        </w:rPr>
      </w:pPr>
    </w:p>
    <w:p w14:paraId="4AADA168" w14:textId="77777777" w:rsidR="00B9422E" w:rsidRPr="002573C8" w:rsidRDefault="00B9422E" w:rsidP="004F0442">
      <w:pPr>
        <w:jc w:val="both"/>
        <w:rPr>
          <w:lang w:eastAsia="en-GB"/>
        </w:rPr>
      </w:pPr>
    </w:p>
    <w:p w14:paraId="4AADA169" w14:textId="77777777" w:rsidR="00B9422E" w:rsidRPr="002573C8" w:rsidRDefault="00B9422E" w:rsidP="004F0442">
      <w:pPr>
        <w:jc w:val="both"/>
        <w:rPr>
          <w:lang w:eastAsia="en-GB"/>
        </w:rPr>
      </w:pPr>
    </w:p>
    <w:p w14:paraId="4AADA16A" w14:textId="77777777" w:rsidR="00B9422E" w:rsidRPr="002573C8" w:rsidRDefault="00B9422E" w:rsidP="004F0442">
      <w:pPr>
        <w:jc w:val="both"/>
        <w:rPr>
          <w:lang w:eastAsia="en-GB"/>
        </w:rPr>
      </w:pPr>
    </w:p>
    <w:p w14:paraId="4AADA16B" w14:textId="77777777" w:rsidR="00B9422E" w:rsidRPr="002573C8" w:rsidRDefault="00B9422E" w:rsidP="004F0442">
      <w:pPr>
        <w:jc w:val="both"/>
        <w:rPr>
          <w:lang w:eastAsia="en-GB"/>
        </w:rPr>
      </w:pPr>
    </w:p>
    <w:p w14:paraId="4AADA16C" w14:textId="77777777" w:rsidR="00B9422E" w:rsidRPr="002573C8" w:rsidRDefault="00B9422E" w:rsidP="004F0442">
      <w:pPr>
        <w:jc w:val="both"/>
        <w:rPr>
          <w:lang w:eastAsia="en-GB"/>
        </w:rPr>
      </w:pPr>
    </w:p>
    <w:p w14:paraId="4AADA16D" w14:textId="77777777" w:rsidR="00B9422E" w:rsidRPr="002573C8" w:rsidRDefault="00B9422E" w:rsidP="004F0442">
      <w:pPr>
        <w:jc w:val="both"/>
        <w:rPr>
          <w:lang w:eastAsia="en-GB"/>
        </w:rPr>
      </w:pPr>
    </w:p>
    <w:p w14:paraId="4AADA16E" w14:textId="77777777" w:rsidR="00B9422E" w:rsidRPr="002573C8" w:rsidRDefault="00B9422E" w:rsidP="004F0442">
      <w:pPr>
        <w:jc w:val="both"/>
        <w:rPr>
          <w:lang w:eastAsia="en-GB"/>
        </w:rPr>
      </w:pPr>
    </w:p>
    <w:p w14:paraId="4AADA16F" w14:textId="77777777" w:rsidR="00B9422E" w:rsidRPr="002573C8" w:rsidRDefault="00B9422E" w:rsidP="004F0442">
      <w:pPr>
        <w:jc w:val="both"/>
        <w:rPr>
          <w:lang w:eastAsia="en-GB"/>
        </w:rPr>
      </w:pPr>
    </w:p>
    <w:p w14:paraId="4AADA170" w14:textId="77777777" w:rsidR="00B9422E" w:rsidRPr="002573C8" w:rsidRDefault="00B9422E" w:rsidP="004F0442">
      <w:pPr>
        <w:jc w:val="both"/>
        <w:rPr>
          <w:lang w:eastAsia="en-GB"/>
        </w:rPr>
      </w:pPr>
    </w:p>
    <w:p w14:paraId="4AADA171" w14:textId="77777777" w:rsidR="00B9422E" w:rsidRPr="002573C8" w:rsidRDefault="00000000" w:rsidP="004F0442">
      <w:pPr>
        <w:jc w:val="both"/>
        <w:rPr>
          <w:lang w:eastAsia="en-GB"/>
        </w:rPr>
      </w:pPr>
      <w:r>
        <w:rPr>
          <w:noProof/>
          <w:lang w:eastAsia="en-GB"/>
        </w:rPr>
        <w:lastRenderedPageBreak/>
        <w:pict w14:anchorId="4AADA28F">
          <v:rect id="_x0000_s2061" style="position:absolute;left:0;text-align:left;margin-left:-58.75pt;margin-top:-31pt;width:570.05pt;height:69.1pt;z-index:251670528" stroked="f"/>
        </w:pict>
      </w:r>
    </w:p>
    <w:p w14:paraId="4AADA172" w14:textId="77777777" w:rsidR="00B9422E" w:rsidRPr="002573C8" w:rsidRDefault="00B9422E" w:rsidP="004F0442">
      <w:pPr>
        <w:jc w:val="both"/>
        <w:rPr>
          <w:lang w:eastAsia="en-GB"/>
        </w:rPr>
      </w:pPr>
    </w:p>
    <w:p w14:paraId="4AADA173" w14:textId="77777777" w:rsidR="00B9422E" w:rsidRPr="002573C8" w:rsidRDefault="00B9422E" w:rsidP="004F0442">
      <w:pPr>
        <w:jc w:val="both"/>
        <w:rPr>
          <w:lang w:eastAsia="en-GB"/>
        </w:rPr>
      </w:pPr>
    </w:p>
    <w:p w14:paraId="4AADA174" w14:textId="77777777" w:rsidR="00B9422E" w:rsidRPr="002573C8" w:rsidRDefault="00B9422E" w:rsidP="004F0442">
      <w:pPr>
        <w:jc w:val="both"/>
        <w:rPr>
          <w:lang w:eastAsia="en-GB"/>
        </w:rPr>
      </w:pPr>
    </w:p>
    <w:p w14:paraId="4AADA175" w14:textId="77777777" w:rsidR="00B9422E" w:rsidRPr="002573C8" w:rsidRDefault="00B9422E" w:rsidP="004F0442">
      <w:pPr>
        <w:jc w:val="both"/>
        <w:rPr>
          <w:lang w:eastAsia="en-GB"/>
        </w:rPr>
      </w:pPr>
    </w:p>
    <w:p w14:paraId="4AADA176" w14:textId="77777777" w:rsidR="00B9422E" w:rsidRPr="002573C8" w:rsidRDefault="00B9422E" w:rsidP="004F0442">
      <w:pPr>
        <w:jc w:val="both"/>
        <w:rPr>
          <w:lang w:eastAsia="en-GB"/>
        </w:rPr>
      </w:pPr>
    </w:p>
    <w:p w14:paraId="4AADA177" w14:textId="77777777" w:rsidR="00B9422E" w:rsidRPr="002573C8" w:rsidRDefault="00B9422E" w:rsidP="004F0442">
      <w:pPr>
        <w:jc w:val="both"/>
        <w:rPr>
          <w:lang w:eastAsia="en-GB"/>
        </w:rPr>
      </w:pPr>
    </w:p>
    <w:p w14:paraId="4AADA178" w14:textId="77777777" w:rsidR="00B9422E" w:rsidRPr="002573C8" w:rsidRDefault="00B9422E" w:rsidP="004F0442">
      <w:pPr>
        <w:jc w:val="both"/>
        <w:rPr>
          <w:lang w:eastAsia="en-GB"/>
        </w:rPr>
      </w:pPr>
    </w:p>
    <w:p w14:paraId="4AADA179" w14:textId="77777777" w:rsidR="00B9422E" w:rsidRPr="002573C8" w:rsidRDefault="00B9422E" w:rsidP="004F0442">
      <w:pPr>
        <w:jc w:val="both"/>
        <w:rPr>
          <w:lang w:eastAsia="en-GB"/>
        </w:rPr>
      </w:pPr>
    </w:p>
    <w:p w14:paraId="4AADA17A" w14:textId="77777777" w:rsidR="00B9422E" w:rsidRPr="002573C8" w:rsidRDefault="00B9422E" w:rsidP="004F0442">
      <w:pPr>
        <w:jc w:val="both"/>
        <w:rPr>
          <w:lang w:eastAsia="en-GB"/>
        </w:rPr>
      </w:pPr>
    </w:p>
    <w:p w14:paraId="4AADA17B" w14:textId="77777777" w:rsidR="00B9422E" w:rsidRPr="002573C8" w:rsidRDefault="00B9422E" w:rsidP="004F0442">
      <w:pPr>
        <w:jc w:val="both"/>
        <w:rPr>
          <w:lang w:eastAsia="en-GB"/>
        </w:rPr>
      </w:pPr>
    </w:p>
    <w:p w14:paraId="4AADA17C" w14:textId="77777777" w:rsidR="00B9422E" w:rsidRPr="002573C8" w:rsidRDefault="00B9422E" w:rsidP="004F0442">
      <w:pPr>
        <w:jc w:val="both"/>
        <w:rPr>
          <w:lang w:eastAsia="en-GB"/>
        </w:rPr>
      </w:pPr>
    </w:p>
    <w:p w14:paraId="4AADA17D" w14:textId="77777777" w:rsidR="00B9422E" w:rsidRPr="002573C8" w:rsidRDefault="00B9422E" w:rsidP="004F0442">
      <w:pPr>
        <w:jc w:val="both"/>
        <w:rPr>
          <w:lang w:eastAsia="en-GB"/>
        </w:rPr>
      </w:pPr>
    </w:p>
    <w:p w14:paraId="4AADA17E" w14:textId="77777777" w:rsidR="00B9422E" w:rsidRPr="002573C8" w:rsidRDefault="00B9422E" w:rsidP="004F0442">
      <w:pPr>
        <w:jc w:val="both"/>
        <w:rPr>
          <w:lang w:eastAsia="en-GB"/>
        </w:rPr>
      </w:pPr>
    </w:p>
    <w:p w14:paraId="4AADA17F" w14:textId="77777777" w:rsidR="00B9422E" w:rsidRPr="002573C8" w:rsidRDefault="00B9422E" w:rsidP="004F0442">
      <w:pPr>
        <w:jc w:val="both"/>
        <w:rPr>
          <w:lang w:eastAsia="en-GB"/>
        </w:rPr>
      </w:pPr>
    </w:p>
    <w:p w14:paraId="4AADA180" w14:textId="77777777" w:rsidR="00B9422E" w:rsidRPr="002573C8" w:rsidRDefault="00B9422E" w:rsidP="004F0442">
      <w:pPr>
        <w:jc w:val="both"/>
        <w:rPr>
          <w:lang w:eastAsia="en-GB"/>
        </w:rPr>
      </w:pPr>
    </w:p>
    <w:p w14:paraId="4AADA181" w14:textId="77777777" w:rsidR="00B9422E" w:rsidRPr="002573C8" w:rsidRDefault="00B9422E" w:rsidP="004F0442">
      <w:pPr>
        <w:jc w:val="both"/>
        <w:rPr>
          <w:lang w:eastAsia="en-GB"/>
        </w:rPr>
      </w:pPr>
    </w:p>
    <w:p w14:paraId="4AADA182" w14:textId="77777777" w:rsidR="00B9422E" w:rsidRPr="002573C8" w:rsidRDefault="00B9422E" w:rsidP="004F0442">
      <w:pPr>
        <w:jc w:val="both"/>
        <w:rPr>
          <w:lang w:eastAsia="en-GB"/>
        </w:rPr>
      </w:pPr>
    </w:p>
    <w:p w14:paraId="4AADA183" w14:textId="77777777" w:rsidR="00B9422E" w:rsidRPr="002573C8" w:rsidRDefault="00B9422E" w:rsidP="004F0442">
      <w:pPr>
        <w:jc w:val="both"/>
        <w:rPr>
          <w:lang w:eastAsia="en-GB"/>
        </w:rPr>
      </w:pPr>
    </w:p>
    <w:p w14:paraId="4AADA184" w14:textId="77777777" w:rsidR="00B9422E" w:rsidRPr="002573C8" w:rsidRDefault="00B9422E" w:rsidP="004F0442">
      <w:pPr>
        <w:jc w:val="both"/>
        <w:rPr>
          <w:lang w:eastAsia="en-GB"/>
        </w:rPr>
      </w:pPr>
    </w:p>
    <w:p w14:paraId="4AADA185" w14:textId="77777777" w:rsidR="00B9422E" w:rsidRPr="002573C8" w:rsidRDefault="00B9422E" w:rsidP="004F0442">
      <w:pPr>
        <w:jc w:val="both"/>
        <w:rPr>
          <w:lang w:eastAsia="en-GB"/>
        </w:rPr>
      </w:pPr>
    </w:p>
    <w:p w14:paraId="4AADA186" w14:textId="77777777" w:rsidR="00B9422E" w:rsidRPr="002573C8" w:rsidRDefault="00B9422E" w:rsidP="004F0442">
      <w:pPr>
        <w:jc w:val="both"/>
        <w:rPr>
          <w:lang w:eastAsia="en-GB"/>
        </w:rPr>
      </w:pPr>
    </w:p>
    <w:p w14:paraId="4AADA187" w14:textId="77777777" w:rsidR="00B9422E" w:rsidRPr="002573C8" w:rsidRDefault="00B9422E" w:rsidP="004F0442">
      <w:pPr>
        <w:jc w:val="both"/>
        <w:rPr>
          <w:lang w:eastAsia="en-GB"/>
        </w:rPr>
      </w:pPr>
    </w:p>
    <w:p w14:paraId="4AADA188" w14:textId="77777777" w:rsidR="00B9422E" w:rsidRPr="002573C8" w:rsidRDefault="00B9422E" w:rsidP="004F0442">
      <w:pPr>
        <w:jc w:val="both"/>
        <w:rPr>
          <w:lang w:eastAsia="en-GB"/>
        </w:rPr>
      </w:pPr>
    </w:p>
    <w:p w14:paraId="4AADA189" w14:textId="77777777" w:rsidR="00B9422E" w:rsidRPr="002573C8" w:rsidRDefault="00B9422E" w:rsidP="004F0442">
      <w:pPr>
        <w:jc w:val="both"/>
        <w:rPr>
          <w:lang w:eastAsia="en-GB"/>
        </w:rPr>
      </w:pPr>
    </w:p>
    <w:p w14:paraId="4AADA18A" w14:textId="77777777" w:rsidR="00B9422E" w:rsidRDefault="00B9422E" w:rsidP="004F0442">
      <w:pPr>
        <w:jc w:val="both"/>
        <w:rPr>
          <w:lang w:eastAsia="en-GB"/>
        </w:rPr>
      </w:pPr>
    </w:p>
    <w:p w14:paraId="4AADA18B" w14:textId="77777777" w:rsidR="0052279F" w:rsidRPr="0052279F" w:rsidRDefault="00000000" w:rsidP="0052279F">
      <w:pPr>
        <w:pStyle w:val="NoSpacing"/>
        <w:rPr>
          <w:b/>
          <w:color w:val="BFBFBF" w:themeColor="background1" w:themeShade="BF"/>
          <w:sz w:val="96"/>
          <w:szCs w:val="96"/>
        </w:rPr>
      </w:pPr>
      <w:r>
        <w:rPr>
          <w:b/>
          <w:noProof/>
          <w:color w:val="BFBFBF" w:themeColor="background1" w:themeShade="BF"/>
          <w:sz w:val="96"/>
          <w:szCs w:val="96"/>
          <w:lang w:eastAsia="en-GB"/>
        </w:rPr>
        <w:lastRenderedPageBreak/>
        <w:pict w14:anchorId="4AADA290">
          <v:shapetype id="_x0000_t32" coordsize="21600,21600" o:spt="32" o:oned="t" path="m,l21600,21600e" filled="f">
            <v:path arrowok="t" fillok="f" o:connecttype="none"/>
            <o:lock v:ext="edit" shapetype="t"/>
          </v:shapetype>
          <v:shape id="_x0000_s2063" type="#_x0000_t32" style="position:absolute;margin-left:.35pt;margin-top:55.65pt;width:46.85pt;height:0;z-index:251673600;mso-position-horizontal-relative:margin" o:connectortype="straight" strokecolor="#c00000" strokeweight="2.25pt">
            <w10:wrap anchorx="margin"/>
          </v:shape>
        </w:pict>
      </w:r>
      <w:r w:rsidR="0052279F">
        <w:rPr>
          <w:b/>
          <w:color w:val="BFBFBF" w:themeColor="background1" w:themeShade="BF"/>
          <w:sz w:val="96"/>
          <w:szCs w:val="96"/>
        </w:rPr>
        <w:t>1</w:t>
      </w:r>
    </w:p>
    <w:p w14:paraId="4AADA18C" w14:textId="77777777" w:rsidR="00B9422E" w:rsidRPr="0052279F" w:rsidRDefault="00B9422E" w:rsidP="004F0442">
      <w:pPr>
        <w:jc w:val="both"/>
        <w:rPr>
          <w:b/>
          <w:iCs/>
          <w:color w:val="BFBFBF" w:themeColor="background1" w:themeShade="BF"/>
          <w:sz w:val="40"/>
          <w:szCs w:val="40"/>
        </w:rPr>
      </w:pPr>
      <w:r w:rsidRPr="0052279F">
        <w:rPr>
          <w:b/>
          <w:iCs/>
          <w:color w:val="BFBFBF" w:themeColor="background1" w:themeShade="BF"/>
          <w:sz w:val="40"/>
          <w:szCs w:val="40"/>
        </w:rPr>
        <w:t>Policy</w:t>
      </w:r>
    </w:p>
    <w:p w14:paraId="4AADA18D" w14:textId="77777777" w:rsidR="00B824B3" w:rsidRPr="002573C8" w:rsidRDefault="00B824B3" w:rsidP="00697770">
      <w:pPr>
        <w:pStyle w:val="ListParagraph"/>
        <w:numPr>
          <w:ilvl w:val="0"/>
          <w:numId w:val="13"/>
        </w:numPr>
        <w:jc w:val="both"/>
        <w:rPr>
          <w:lang w:eastAsia="en-GB"/>
        </w:rPr>
      </w:pPr>
      <w:r w:rsidRPr="002573C8">
        <w:rPr>
          <w:lang w:eastAsia="en-GB"/>
        </w:rPr>
        <w:t>I</w:t>
      </w:r>
      <w:r w:rsidR="002A1853" w:rsidRPr="002573C8">
        <w:rPr>
          <w:lang w:eastAsia="en-GB"/>
        </w:rPr>
        <w:t>ntroduction</w:t>
      </w:r>
    </w:p>
    <w:p w14:paraId="4AADA18E" w14:textId="77777777" w:rsidR="00E328AC" w:rsidRPr="002573C8" w:rsidRDefault="00E328AC" w:rsidP="00E328AC">
      <w:pPr>
        <w:pStyle w:val="ListParagraph"/>
        <w:jc w:val="both"/>
        <w:rPr>
          <w:lang w:eastAsia="en-GB"/>
        </w:rPr>
      </w:pPr>
    </w:p>
    <w:p w14:paraId="4AADA18F" w14:textId="77777777" w:rsidR="004F0442" w:rsidRPr="002573C8" w:rsidRDefault="00F37397" w:rsidP="000773C4">
      <w:pPr>
        <w:pStyle w:val="ListParagraph"/>
        <w:numPr>
          <w:ilvl w:val="0"/>
          <w:numId w:val="10"/>
        </w:numPr>
        <w:jc w:val="both"/>
        <w:rPr>
          <w:lang w:eastAsia="en-GB"/>
        </w:rPr>
      </w:pPr>
      <w:r w:rsidRPr="002573C8">
        <w:rPr>
          <w:lang w:eastAsia="en-GB"/>
        </w:rPr>
        <w:t xml:space="preserve">The </w:t>
      </w:r>
      <w:r w:rsidR="0099662F" w:rsidRPr="002573C8">
        <w:rPr>
          <w:lang w:eastAsia="en-GB"/>
        </w:rPr>
        <w:t>Medina Foundation for Music</w:t>
      </w:r>
      <w:r w:rsidRPr="002573C8">
        <w:rPr>
          <w:lang w:eastAsia="en-GB"/>
        </w:rPr>
        <w:t xml:space="preserve"> (</w:t>
      </w:r>
      <w:r w:rsidR="0099662F" w:rsidRPr="002573C8">
        <w:rPr>
          <w:lang w:eastAsia="en-GB"/>
        </w:rPr>
        <w:t>MFM</w:t>
      </w:r>
      <w:r w:rsidRPr="002573C8">
        <w:rPr>
          <w:lang w:eastAsia="en-GB"/>
        </w:rPr>
        <w:t xml:space="preserve">) </w:t>
      </w:r>
      <w:r w:rsidR="0099662F" w:rsidRPr="002573C8">
        <w:rPr>
          <w:lang w:eastAsia="en-GB"/>
        </w:rPr>
        <w:t xml:space="preserve">accepts </w:t>
      </w:r>
      <w:r w:rsidR="00F4672C" w:rsidRPr="002573C8">
        <w:rPr>
          <w:lang w:eastAsia="en-GB"/>
        </w:rPr>
        <w:t>expressions of interest</w:t>
      </w:r>
      <w:r w:rsidR="0099662F" w:rsidRPr="002573C8">
        <w:rPr>
          <w:lang w:eastAsia="en-GB"/>
        </w:rPr>
        <w:t xml:space="preserve"> from</w:t>
      </w:r>
      <w:r w:rsidR="00B824B3" w:rsidRPr="002573C8">
        <w:rPr>
          <w:lang w:eastAsia="en-GB"/>
        </w:rPr>
        <w:t xml:space="preserve"> </w:t>
      </w:r>
      <w:r w:rsidR="006378FB" w:rsidRPr="002573C8">
        <w:rPr>
          <w:lang w:eastAsia="en-GB"/>
        </w:rPr>
        <w:t>T</w:t>
      </w:r>
      <w:r w:rsidRPr="002573C8">
        <w:rPr>
          <w:lang w:eastAsia="en-GB"/>
        </w:rPr>
        <w:t>eachers</w:t>
      </w:r>
      <w:r w:rsidR="0099662F" w:rsidRPr="002573C8">
        <w:rPr>
          <w:lang w:eastAsia="en-GB"/>
        </w:rPr>
        <w:t xml:space="preserve"> of</w:t>
      </w:r>
      <w:r w:rsidR="00957DC8" w:rsidRPr="002573C8">
        <w:rPr>
          <w:lang w:eastAsia="en-GB"/>
        </w:rPr>
        <w:t xml:space="preserve"> </w:t>
      </w:r>
      <w:r w:rsidR="006378FB" w:rsidRPr="002573C8">
        <w:rPr>
          <w:lang w:eastAsia="en-GB"/>
        </w:rPr>
        <w:t>M</w:t>
      </w:r>
      <w:r w:rsidR="0099662F" w:rsidRPr="002573C8">
        <w:rPr>
          <w:lang w:eastAsia="en-GB"/>
        </w:rPr>
        <w:t>usic</w:t>
      </w:r>
      <w:r w:rsidR="00F4672C" w:rsidRPr="002573C8">
        <w:rPr>
          <w:lang w:eastAsia="en-GB"/>
        </w:rPr>
        <w:t xml:space="preserve"> to</w:t>
      </w:r>
      <w:r w:rsidR="004F0442" w:rsidRPr="002573C8">
        <w:rPr>
          <w:lang w:eastAsia="en-GB"/>
        </w:rPr>
        <w:t xml:space="preserve"> </w:t>
      </w:r>
      <w:r w:rsidRPr="002573C8">
        <w:rPr>
          <w:lang w:eastAsia="en-GB"/>
        </w:rPr>
        <w:t>teach</w:t>
      </w:r>
      <w:r w:rsidR="0099662F" w:rsidRPr="002573C8">
        <w:rPr>
          <w:lang w:eastAsia="en-GB"/>
        </w:rPr>
        <w:t xml:space="preserve"> its courses</w:t>
      </w:r>
      <w:r w:rsidRPr="002573C8">
        <w:rPr>
          <w:lang w:eastAsia="en-GB"/>
        </w:rPr>
        <w:t xml:space="preserve"> in Malta and/or </w:t>
      </w:r>
      <w:proofErr w:type="spellStart"/>
      <w:r w:rsidRPr="002573C8">
        <w:rPr>
          <w:lang w:eastAsia="en-GB"/>
        </w:rPr>
        <w:t>Gozo</w:t>
      </w:r>
      <w:proofErr w:type="spellEnd"/>
      <w:r w:rsidRPr="002573C8">
        <w:rPr>
          <w:lang w:eastAsia="en-GB"/>
        </w:rPr>
        <w:t>.</w:t>
      </w:r>
    </w:p>
    <w:p w14:paraId="4AADA190" w14:textId="77777777" w:rsidR="004F0442" w:rsidRPr="002573C8" w:rsidRDefault="004F0442" w:rsidP="004F0442">
      <w:pPr>
        <w:pStyle w:val="ListParagraph"/>
        <w:jc w:val="both"/>
        <w:rPr>
          <w:lang w:eastAsia="en-GB"/>
        </w:rPr>
      </w:pPr>
    </w:p>
    <w:p w14:paraId="4AADA191" w14:textId="77777777" w:rsidR="00F4672C" w:rsidRPr="002573C8" w:rsidRDefault="00F37397" w:rsidP="000773C4">
      <w:pPr>
        <w:pStyle w:val="ListParagraph"/>
        <w:numPr>
          <w:ilvl w:val="0"/>
          <w:numId w:val="10"/>
        </w:numPr>
        <w:jc w:val="both"/>
        <w:rPr>
          <w:lang w:eastAsia="en-GB"/>
        </w:rPr>
      </w:pPr>
      <w:r w:rsidRPr="002573C8">
        <w:rPr>
          <w:lang w:eastAsia="en-GB"/>
        </w:rPr>
        <w:t xml:space="preserve">The functions of the </w:t>
      </w:r>
      <w:r w:rsidR="0099662F" w:rsidRPr="002573C8">
        <w:rPr>
          <w:lang w:eastAsia="en-GB"/>
        </w:rPr>
        <w:t>MFM</w:t>
      </w:r>
      <w:r w:rsidRPr="002573C8">
        <w:rPr>
          <w:lang w:eastAsia="en-GB"/>
        </w:rPr>
        <w:t xml:space="preserve"> are established by </w:t>
      </w:r>
      <w:r w:rsidR="0099662F" w:rsidRPr="002573C8">
        <w:rPr>
          <w:lang w:eastAsia="en-GB"/>
        </w:rPr>
        <w:t>its statute</w:t>
      </w:r>
      <w:r w:rsidR="00F4672C" w:rsidRPr="002573C8">
        <w:rPr>
          <w:lang w:eastAsia="en-GB"/>
        </w:rPr>
        <w:t>.</w:t>
      </w:r>
    </w:p>
    <w:p w14:paraId="4AADA192" w14:textId="77777777" w:rsidR="00F4672C" w:rsidRPr="002573C8" w:rsidRDefault="00F4672C" w:rsidP="00F4672C">
      <w:pPr>
        <w:pStyle w:val="ListParagraph"/>
        <w:rPr>
          <w:lang w:eastAsia="en-GB"/>
        </w:rPr>
      </w:pPr>
    </w:p>
    <w:p w14:paraId="4AADA193" w14:textId="77777777" w:rsidR="00BE7F50" w:rsidRPr="002573C8" w:rsidRDefault="00F37397" w:rsidP="000773C4">
      <w:pPr>
        <w:pStyle w:val="ListParagraph"/>
        <w:numPr>
          <w:ilvl w:val="0"/>
          <w:numId w:val="10"/>
        </w:numPr>
        <w:jc w:val="both"/>
        <w:rPr>
          <w:lang w:eastAsia="en-GB"/>
        </w:rPr>
      </w:pPr>
      <w:r w:rsidRPr="002573C8">
        <w:rPr>
          <w:lang w:eastAsia="en-GB"/>
        </w:rPr>
        <w:t xml:space="preserve">The </w:t>
      </w:r>
      <w:r w:rsidR="00F4672C" w:rsidRPr="002573C8">
        <w:rPr>
          <w:lang w:eastAsia="en-GB"/>
        </w:rPr>
        <w:t>aim</w:t>
      </w:r>
      <w:r w:rsidR="00A0796A" w:rsidRPr="002573C8">
        <w:rPr>
          <w:lang w:eastAsia="en-GB"/>
        </w:rPr>
        <w:t>s</w:t>
      </w:r>
      <w:r w:rsidRPr="002573C8">
        <w:rPr>
          <w:lang w:eastAsia="en-GB"/>
        </w:rPr>
        <w:t xml:space="preserve"> of the </w:t>
      </w:r>
      <w:r w:rsidR="0099662F" w:rsidRPr="002573C8">
        <w:rPr>
          <w:lang w:eastAsia="en-GB"/>
        </w:rPr>
        <w:t>MFM</w:t>
      </w:r>
      <w:r w:rsidR="00A0796A" w:rsidRPr="002573C8">
        <w:rPr>
          <w:lang w:eastAsia="en-GB"/>
        </w:rPr>
        <w:t xml:space="preserve"> are outlined in the Teaching and Learning Policy and include the</w:t>
      </w:r>
      <w:r w:rsidRPr="002573C8">
        <w:rPr>
          <w:lang w:eastAsia="en-GB"/>
        </w:rPr>
        <w:t xml:space="preserve"> </w:t>
      </w:r>
      <w:r w:rsidR="00A0796A" w:rsidRPr="002573C8">
        <w:t>provision of</w:t>
      </w:r>
      <w:r w:rsidR="00582647" w:rsidRPr="002573C8">
        <w:t xml:space="preserve"> high-quality music education to developing musicians in a supportive and nurturing environment where they can improve their technical and theoretical knowledge of music. </w:t>
      </w:r>
      <w:r w:rsidR="00B824B3" w:rsidRPr="002573C8">
        <w:t xml:space="preserve"> </w:t>
      </w:r>
      <w:proofErr w:type="gramStart"/>
      <w:r w:rsidR="00582647" w:rsidRPr="002573C8">
        <w:t>In particular, it</w:t>
      </w:r>
      <w:proofErr w:type="gramEnd"/>
      <w:r w:rsidR="00582647" w:rsidRPr="002573C8">
        <w:t xml:space="preserve"> aims to provide possibilities for them to interact and share their love of music with their peers and rub shoulders with the world of professional music-making.</w:t>
      </w:r>
    </w:p>
    <w:p w14:paraId="4AADA194" w14:textId="77777777" w:rsidR="00EF61B2" w:rsidRPr="002573C8" w:rsidRDefault="00EF61B2" w:rsidP="00EF61B2">
      <w:pPr>
        <w:pStyle w:val="ListParagraph"/>
        <w:rPr>
          <w:lang w:eastAsia="en-GB"/>
        </w:rPr>
      </w:pPr>
    </w:p>
    <w:p w14:paraId="4AADA195" w14:textId="77777777" w:rsidR="00EF61B2" w:rsidRPr="002573C8" w:rsidRDefault="00EF61B2" w:rsidP="00EF61B2">
      <w:pPr>
        <w:pStyle w:val="ListParagraph"/>
        <w:numPr>
          <w:ilvl w:val="0"/>
          <w:numId w:val="1"/>
        </w:numPr>
        <w:jc w:val="both"/>
        <w:rPr>
          <w:lang w:eastAsia="en-GB"/>
        </w:rPr>
      </w:pPr>
      <w:r w:rsidRPr="002573C8">
        <w:rPr>
          <w:lang w:eastAsia="en-GB"/>
        </w:rPr>
        <w:t>the teaching and education of students according to guidelines provided by the MFM in accordance with the standards of the National Commission for Further and Higher Education (NCFHE),</w:t>
      </w:r>
    </w:p>
    <w:p w14:paraId="4AADA196" w14:textId="77777777" w:rsidR="00EF61B2" w:rsidRPr="002573C8" w:rsidRDefault="00EF61B2" w:rsidP="00EF61B2">
      <w:pPr>
        <w:pStyle w:val="ListParagraph"/>
        <w:numPr>
          <w:ilvl w:val="0"/>
          <w:numId w:val="1"/>
        </w:numPr>
        <w:jc w:val="both"/>
        <w:rPr>
          <w:lang w:eastAsia="en-GB"/>
        </w:rPr>
      </w:pPr>
      <w:r w:rsidRPr="002573C8">
        <w:rPr>
          <w:lang w:eastAsia="en-GB"/>
        </w:rPr>
        <w:t>the teaching and education of according to the educational needs, abilities and attainment potential of individual students entrusted to his/her care, and</w:t>
      </w:r>
    </w:p>
    <w:p w14:paraId="4AADA197" w14:textId="77777777" w:rsidR="00EF61B2" w:rsidRPr="002573C8" w:rsidRDefault="00EF61B2" w:rsidP="00EF61B2">
      <w:pPr>
        <w:pStyle w:val="ListParagraph"/>
        <w:numPr>
          <w:ilvl w:val="0"/>
          <w:numId w:val="1"/>
        </w:numPr>
        <w:jc w:val="both"/>
        <w:rPr>
          <w:lang w:eastAsia="en-GB"/>
        </w:rPr>
      </w:pPr>
      <w:r w:rsidRPr="002573C8">
        <w:rPr>
          <w:lang w:eastAsia="en-GB"/>
        </w:rPr>
        <w:t>keeping himself/herself well informed of all developments connected with the teaching of music be it in theory or performance.</w:t>
      </w:r>
    </w:p>
    <w:p w14:paraId="4AADA198" w14:textId="77777777" w:rsidR="00EF61B2" w:rsidRPr="002573C8" w:rsidRDefault="00EF61B2" w:rsidP="00EF61B2">
      <w:pPr>
        <w:pStyle w:val="ListParagraph"/>
        <w:jc w:val="both"/>
        <w:rPr>
          <w:lang w:eastAsia="en-GB"/>
        </w:rPr>
      </w:pPr>
    </w:p>
    <w:p w14:paraId="4AADA199" w14:textId="77777777" w:rsidR="00697770" w:rsidRPr="002573C8" w:rsidRDefault="00697770" w:rsidP="00697770">
      <w:pPr>
        <w:pStyle w:val="ListParagraph"/>
        <w:numPr>
          <w:ilvl w:val="0"/>
          <w:numId w:val="10"/>
        </w:numPr>
        <w:jc w:val="both"/>
        <w:rPr>
          <w:lang w:eastAsia="en-GB"/>
        </w:rPr>
      </w:pPr>
      <w:r w:rsidRPr="002573C8">
        <w:t xml:space="preserve">The Foundation does not have its own premises and envisages a satellite system of teaching. </w:t>
      </w:r>
      <w:r w:rsidR="008968BF" w:rsidRPr="002573C8">
        <w:t>T</w:t>
      </w:r>
      <w:r w:rsidRPr="002573C8">
        <w:t>eachers are independent professionals and will be using their own premises to offer the MFM’s program of studies</w:t>
      </w:r>
      <w:r w:rsidR="008968BF" w:rsidRPr="002573C8">
        <w:t>.</w:t>
      </w:r>
    </w:p>
    <w:p w14:paraId="4AADA19A" w14:textId="77777777" w:rsidR="00BE7F50" w:rsidRPr="002573C8" w:rsidRDefault="00BE7F50" w:rsidP="00BE7F50">
      <w:pPr>
        <w:pStyle w:val="ListParagraph"/>
        <w:rPr>
          <w:lang w:eastAsia="en-GB"/>
        </w:rPr>
      </w:pPr>
    </w:p>
    <w:p w14:paraId="4AADA19B" w14:textId="77777777" w:rsidR="00BE7F50" w:rsidRPr="002573C8" w:rsidRDefault="00586263" w:rsidP="000773C4">
      <w:pPr>
        <w:pStyle w:val="ListParagraph"/>
        <w:numPr>
          <w:ilvl w:val="0"/>
          <w:numId w:val="10"/>
        </w:numPr>
        <w:jc w:val="both"/>
        <w:rPr>
          <w:lang w:eastAsia="en-GB"/>
        </w:rPr>
      </w:pPr>
      <w:r w:rsidRPr="002573C8">
        <w:rPr>
          <w:lang w:eastAsia="en-GB"/>
        </w:rPr>
        <w:t>Teachers</w:t>
      </w:r>
      <w:r w:rsidR="00F37397" w:rsidRPr="002573C8">
        <w:rPr>
          <w:lang w:eastAsia="en-GB"/>
        </w:rPr>
        <w:t xml:space="preserve"> are expected to carry out </w:t>
      </w:r>
      <w:r w:rsidRPr="002573C8">
        <w:rPr>
          <w:lang w:eastAsia="en-GB"/>
        </w:rPr>
        <w:t>their</w:t>
      </w:r>
      <w:r w:rsidR="00B824B3" w:rsidRPr="002573C8">
        <w:rPr>
          <w:lang w:eastAsia="en-GB"/>
        </w:rPr>
        <w:t xml:space="preserve"> </w:t>
      </w:r>
      <w:r w:rsidR="000E7AFF" w:rsidRPr="002573C8">
        <w:rPr>
          <w:lang w:eastAsia="en-GB"/>
        </w:rPr>
        <w:t>work</w:t>
      </w:r>
      <w:r w:rsidR="00F37397" w:rsidRPr="002573C8">
        <w:rPr>
          <w:lang w:eastAsia="en-GB"/>
        </w:rPr>
        <w:t xml:space="preserve"> in utmost good faith, with due diligence and to the best of </w:t>
      </w:r>
      <w:r w:rsidRPr="002573C8">
        <w:rPr>
          <w:lang w:eastAsia="en-GB"/>
        </w:rPr>
        <w:t>their</w:t>
      </w:r>
      <w:r w:rsidR="00F37397" w:rsidRPr="002573C8">
        <w:rPr>
          <w:lang w:eastAsia="en-GB"/>
        </w:rPr>
        <w:t xml:space="preserve"> abilities and shall act in all respects according to the </w:t>
      </w:r>
      <w:r w:rsidR="008F42AE" w:rsidRPr="002573C8">
        <w:rPr>
          <w:lang w:eastAsia="en-GB"/>
        </w:rPr>
        <w:t>policies</w:t>
      </w:r>
      <w:r w:rsidR="000E7AFF" w:rsidRPr="002573C8">
        <w:rPr>
          <w:lang w:eastAsia="en-GB"/>
        </w:rPr>
        <w:t>, philosophies</w:t>
      </w:r>
      <w:r w:rsidR="008F42AE" w:rsidRPr="002573C8">
        <w:rPr>
          <w:lang w:eastAsia="en-GB"/>
        </w:rPr>
        <w:t xml:space="preserve"> and </w:t>
      </w:r>
      <w:r w:rsidR="000E7AFF" w:rsidRPr="002573C8">
        <w:rPr>
          <w:lang w:eastAsia="en-GB"/>
        </w:rPr>
        <w:t>principles</w:t>
      </w:r>
      <w:r w:rsidR="008F42AE" w:rsidRPr="002573C8">
        <w:rPr>
          <w:lang w:eastAsia="en-GB"/>
        </w:rPr>
        <w:t xml:space="preserve"> of the MFM.</w:t>
      </w:r>
    </w:p>
    <w:p w14:paraId="4AADA19C" w14:textId="77777777" w:rsidR="00BE7F50" w:rsidRPr="002573C8" w:rsidRDefault="00BE7F50" w:rsidP="00BE7F50">
      <w:pPr>
        <w:pStyle w:val="ListParagraph"/>
        <w:jc w:val="both"/>
        <w:rPr>
          <w:lang w:eastAsia="en-GB"/>
        </w:rPr>
      </w:pPr>
    </w:p>
    <w:p w14:paraId="4AADA19D" w14:textId="77777777" w:rsidR="007C2F31" w:rsidRPr="002573C8" w:rsidRDefault="00B824B3" w:rsidP="000773C4">
      <w:pPr>
        <w:pStyle w:val="ListParagraph"/>
        <w:numPr>
          <w:ilvl w:val="0"/>
          <w:numId w:val="10"/>
        </w:numPr>
        <w:jc w:val="both"/>
        <w:rPr>
          <w:lang w:eastAsia="en-GB"/>
        </w:rPr>
      </w:pPr>
      <w:r w:rsidRPr="002573C8">
        <w:rPr>
          <w:lang w:eastAsia="en-GB"/>
        </w:rPr>
        <w:t xml:space="preserve"> </w:t>
      </w:r>
      <w:r w:rsidR="008F42AE" w:rsidRPr="002573C8">
        <w:rPr>
          <w:lang w:eastAsia="en-GB"/>
        </w:rPr>
        <w:t>T</w:t>
      </w:r>
      <w:r w:rsidR="00586263" w:rsidRPr="002573C8">
        <w:rPr>
          <w:lang w:eastAsia="en-GB"/>
        </w:rPr>
        <w:t>eachers</w:t>
      </w:r>
      <w:r w:rsidR="00F37397" w:rsidRPr="002573C8">
        <w:rPr>
          <w:lang w:eastAsia="en-GB"/>
        </w:rPr>
        <w:t xml:space="preserve"> are required to follow professi</w:t>
      </w:r>
      <w:r w:rsidR="00586263" w:rsidRPr="002573C8">
        <w:rPr>
          <w:lang w:eastAsia="en-GB"/>
        </w:rPr>
        <w:t xml:space="preserve">onal development courses and </w:t>
      </w:r>
      <w:r w:rsidR="00F37397" w:rsidRPr="002573C8">
        <w:rPr>
          <w:lang w:eastAsia="en-GB"/>
        </w:rPr>
        <w:t xml:space="preserve">training programmes and/or </w:t>
      </w:r>
      <w:r w:rsidR="00586263" w:rsidRPr="002573C8">
        <w:rPr>
          <w:lang w:eastAsia="en-GB"/>
        </w:rPr>
        <w:t>seminars</w:t>
      </w:r>
      <w:r w:rsidR="00F37397" w:rsidRPr="002573C8">
        <w:rPr>
          <w:lang w:eastAsia="en-GB"/>
        </w:rPr>
        <w:t xml:space="preserve"> as </w:t>
      </w:r>
      <w:r w:rsidR="00586263" w:rsidRPr="002573C8">
        <w:rPr>
          <w:lang w:eastAsia="en-GB"/>
        </w:rPr>
        <w:t>organized by the MFM.</w:t>
      </w:r>
    </w:p>
    <w:p w14:paraId="4AADA19E" w14:textId="77777777" w:rsidR="00FB05CC" w:rsidRPr="002573C8" w:rsidRDefault="008F42AE" w:rsidP="004F0442">
      <w:pPr>
        <w:jc w:val="both"/>
        <w:rPr>
          <w:lang w:eastAsia="en-GB"/>
        </w:rPr>
      </w:pPr>
      <w:r w:rsidRPr="002573C8">
        <w:rPr>
          <w:lang w:eastAsia="en-GB"/>
        </w:rPr>
        <w:t>2</w:t>
      </w:r>
      <w:r w:rsidR="00F37397" w:rsidRPr="002573C8">
        <w:rPr>
          <w:lang w:eastAsia="en-GB"/>
        </w:rPr>
        <w:t>. Eligibility requirements</w:t>
      </w:r>
    </w:p>
    <w:p w14:paraId="4AADA19F" w14:textId="77777777" w:rsidR="004F2079" w:rsidRPr="002573C8" w:rsidRDefault="00FB05CC" w:rsidP="00673F25">
      <w:pPr>
        <w:pStyle w:val="ListParagraph"/>
        <w:numPr>
          <w:ilvl w:val="0"/>
          <w:numId w:val="11"/>
        </w:numPr>
        <w:jc w:val="both"/>
        <w:rPr>
          <w:lang w:eastAsia="en-GB"/>
        </w:rPr>
      </w:pPr>
      <w:r w:rsidRPr="002573C8">
        <w:rPr>
          <w:lang w:eastAsia="en-GB"/>
        </w:rPr>
        <w:t>Teachers who wish to teach the program of studies as stipulated by the MFM</w:t>
      </w:r>
      <w:r w:rsidR="004F2079" w:rsidRPr="002573C8">
        <w:rPr>
          <w:lang w:eastAsia="en-GB"/>
        </w:rPr>
        <w:t xml:space="preserve"> </w:t>
      </w:r>
      <w:r w:rsidR="00562DC1" w:rsidRPr="002573C8">
        <w:rPr>
          <w:lang w:eastAsia="en-GB"/>
        </w:rPr>
        <w:t xml:space="preserve">(hereafter referred to as Prospective Teachers) </w:t>
      </w:r>
      <w:r w:rsidR="00F37397" w:rsidRPr="002573C8">
        <w:rPr>
          <w:lang w:eastAsia="en-GB"/>
        </w:rPr>
        <w:t>must</w:t>
      </w:r>
      <w:r w:rsidRPr="002573C8">
        <w:rPr>
          <w:lang w:eastAsia="en-GB"/>
        </w:rPr>
        <w:t xml:space="preserve"> </w:t>
      </w:r>
      <w:proofErr w:type="gramStart"/>
      <w:r w:rsidRPr="002573C8">
        <w:rPr>
          <w:lang w:eastAsia="en-GB"/>
        </w:rPr>
        <w:t>be</w:t>
      </w:r>
      <w:r w:rsidR="00F37397" w:rsidRPr="002573C8">
        <w:rPr>
          <w:lang w:eastAsia="en-GB"/>
        </w:rPr>
        <w:t>;</w:t>
      </w:r>
      <w:proofErr w:type="gramEnd"/>
    </w:p>
    <w:p w14:paraId="4AADA1A0" w14:textId="77777777" w:rsidR="00504CCC" w:rsidRPr="002573C8" w:rsidRDefault="00504CCC" w:rsidP="00504CCC">
      <w:pPr>
        <w:pStyle w:val="ListParagraph"/>
        <w:jc w:val="both"/>
        <w:rPr>
          <w:lang w:eastAsia="en-GB"/>
        </w:rPr>
      </w:pPr>
    </w:p>
    <w:p w14:paraId="4AADA1A1" w14:textId="77777777" w:rsidR="00A02182" w:rsidRPr="002573C8" w:rsidRDefault="00F37397" w:rsidP="000773C4">
      <w:pPr>
        <w:pStyle w:val="ListParagraph"/>
        <w:numPr>
          <w:ilvl w:val="0"/>
          <w:numId w:val="2"/>
        </w:numPr>
        <w:ind w:left="993"/>
        <w:jc w:val="both"/>
        <w:rPr>
          <w:lang w:eastAsia="en-GB"/>
        </w:rPr>
      </w:pPr>
      <w:r w:rsidRPr="002573C8">
        <w:rPr>
          <w:lang w:eastAsia="en-GB"/>
        </w:rPr>
        <w:t>citizens of Malta; or</w:t>
      </w:r>
    </w:p>
    <w:p w14:paraId="4AADA1A2" w14:textId="77777777" w:rsidR="009D7533" w:rsidRPr="002573C8" w:rsidRDefault="009D7533" w:rsidP="009F1DDF">
      <w:pPr>
        <w:pStyle w:val="ListParagraph"/>
        <w:ind w:left="993"/>
        <w:jc w:val="both"/>
        <w:rPr>
          <w:lang w:eastAsia="en-GB"/>
        </w:rPr>
      </w:pPr>
    </w:p>
    <w:p w14:paraId="4AADA1A3" w14:textId="77777777" w:rsidR="009D7533" w:rsidRPr="002573C8" w:rsidRDefault="009D7533" w:rsidP="000773C4">
      <w:pPr>
        <w:pStyle w:val="ListParagraph"/>
        <w:numPr>
          <w:ilvl w:val="0"/>
          <w:numId w:val="4"/>
        </w:numPr>
        <w:ind w:left="993"/>
        <w:jc w:val="both"/>
        <w:rPr>
          <w:vanish/>
          <w:lang w:eastAsia="en-GB"/>
        </w:rPr>
      </w:pPr>
    </w:p>
    <w:p w14:paraId="4AADA1A4" w14:textId="77777777" w:rsidR="00A02182" w:rsidRPr="002573C8" w:rsidRDefault="00F37397" w:rsidP="000773C4">
      <w:pPr>
        <w:pStyle w:val="ListParagraph"/>
        <w:numPr>
          <w:ilvl w:val="0"/>
          <w:numId w:val="4"/>
        </w:numPr>
        <w:ind w:left="993"/>
        <w:jc w:val="both"/>
        <w:rPr>
          <w:lang w:eastAsia="en-GB"/>
        </w:rPr>
      </w:pPr>
      <w:r w:rsidRPr="002573C8">
        <w:rPr>
          <w:lang w:eastAsia="en-GB"/>
        </w:rPr>
        <w:t>citizens of other Member States of the European Union who are entitled to</w:t>
      </w:r>
      <w:r w:rsidR="00A02182" w:rsidRPr="002573C8">
        <w:rPr>
          <w:lang w:eastAsia="en-GB"/>
        </w:rPr>
        <w:t xml:space="preserve"> </w:t>
      </w:r>
      <w:r w:rsidRPr="002573C8">
        <w:rPr>
          <w:lang w:eastAsia="en-GB"/>
        </w:rPr>
        <w:t>equal treatment to Maltese citizens in matters of employment by virtue of EU</w:t>
      </w:r>
      <w:r w:rsidR="004F2079" w:rsidRPr="002573C8">
        <w:rPr>
          <w:lang w:eastAsia="en-GB"/>
        </w:rPr>
        <w:t xml:space="preserve"> </w:t>
      </w:r>
      <w:r w:rsidRPr="002573C8">
        <w:rPr>
          <w:lang w:eastAsia="en-GB"/>
        </w:rPr>
        <w:t>legislation and treaty provisions dealing with the free movement of workers</w:t>
      </w:r>
      <w:r w:rsidR="007C2F31" w:rsidRPr="002573C8">
        <w:rPr>
          <w:lang w:eastAsia="en-GB"/>
        </w:rPr>
        <w:t>; or</w:t>
      </w:r>
    </w:p>
    <w:p w14:paraId="4AADA1A5" w14:textId="77777777" w:rsidR="00A02182" w:rsidRPr="002573C8" w:rsidRDefault="00A02182" w:rsidP="009F1DDF">
      <w:pPr>
        <w:pStyle w:val="ListParagraph"/>
        <w:ind w:left="993"/>
        <w:rPr>
          <w:lang w:eastAsia="en-GB"/>
        </w:rPr>
      </w:pPr>
    </w:p>
    <w:p w14:paraId="4AADA1A6" w14:textId="77777777" w:rsidR="00A02182" w:rsidRPr="002573C8" w:rsidRDefault="00F37397" w:rsidP="000773C4">
      <w:pPr>
        <w:pStyle w:val="ListParagraph"/>
        <w:numPr>
          <w:ilvl w:val="0"/>
          <w:numId w:val="4"/>
        </w:numPr>
        <w:ind w:left="993"/>
        <w:jc w:val="both"/>
        <w:rPr>
          <w:lang w:eastAsia="en-GB"/>
        </w:rPr>
      </w:pPr>
      <w:r w:rsidRPr="002573C8">
        <w:rPr>
          <w:lang w:eastAsia="en-GB"/>
        </w:rPr>
        <w:t>citizens of any other country who are entitled to equal treatment to Maltese</w:t>
      </w:r>
      <w:r w:rsidR="007C2F31" w:rsidRPr="002573C8">
        <w:rPr>
          <w:lang w:eastAsia="en-GB"/>
        </w:rPr>
        <w:t xml:space="preserve"> </w:t>
      </w:r>
      <w:r w:rsidRPr="002573C8">
        <w:rPr>
          <w:lang w:eastAsia="en-GB"/>
        </w:rPr>
        <w:t>citizens in matters related to employment by virtue of the application to that</w:t>
      </w:r>
      <w:r w:rsidR="007C2F31" w:rsidRPr="002573C8">
        <w:rPr>
          <w:lang w:eastAsia="en-GB"/>
        </w:rPr>
        <w:t xml:space="preserve"> </w:t>
      </w:r>
      <w:r w:rsidRPr="002573C8">
        <w:rPr>
          <w:lang w:eastAsia="en-GB"/>
        </w:rPr>
        <w:t>country</w:t>
      </w:r>
      <w:r w:rsidR="007C2F31" w:rsidRPr="002573C8">
        <w:rPr>
          <w:lang w:eastAsia="en-GB"/>
        </w:rPr>
        <w:t xml:space="preserve"> </w:t>
      </w:r>
      <w:r w:rsidRPr="002573C8">
        <w:rPr>
          <w:lang w:eastAsia="en-GB"/>
        </w:rPr>
        <w:t>of EU legislation and treaty provisions dealing with the free movement of</w:t>
      </w:r>
      <w:r w:rsidR="007C2F31" w:rsidRPr="002573C8">
        <w:rPr>
          <w:lang w:eastAsia="en-GB"/>
        </w:rPr>
        <w:t xml:space="preserve"> </w:t>
      </w:r>
      <w:r w:rsidRPr="002573C8">
        <w:rPr>
          <w:lang w:eastAsia="en-GB"/>
        </w:rPr>
        <w:t>workers;</w:t>
      </w:r>
      <w:r w:rsidR="004F2079" w:rsidRPr="002573C8">
        <w:rPr>
          <w:lang w:eastAsia="en-GB"/>
        </w:rPr>
        <w:t xml:space="preserve"> </w:t>
      </w:r>
      <w:r w:rsidRPr="002573C8">
        <w:rPr>
          <w:lang w:eastAsia="en-GB"/>
        </w:rPr>
        <w:t>or </w:t>
      </w:r>
    </w:p>
    <w:p w14:paraId="4AADA1A7" w14:textId="77777777" w:rsidR="009D7533" w:rsidRPr="002573C8" w:rsidRDefault="009D7533" w:rsidP="009F1DDF">
      <w:pPr>
        <w:pStyle w:val="ListParagraph"/>
        <w:ind w:left="993"/>
        <w:rPr>
          <w:lang w:eastAsia="en-GB"/>
        </w:rPr>
      </w:pPr>
    </w:p>
    <w:p w14:paraId="4AADA1A8" w14:textId="77777777" w:rsidR="00A02182" w:rsidRPr="002573C8" w:rsidRDefault="00F37397" w:rsidP="000773C4">
      <w:pPr>
        <w:pStyle w:val="ListParagraph"/>
        <w:numPr>
          <w:ilvl w:val="0"/>
          <w:numId w:val="4"/>
        </w:numPr>
        <w:ind w:left="993"/>
        <w:jc w:val="both"/>
        <w:rPr>
          <w:lang w:eastAsia="en-GB"/>
        </w:rPr>
      </w:pPr>
      <w:r w:rsidRPr="002573C8">
        <w:rPr>
          <w:lang w:eastAsia="en-GB"/>
        </w:rPr>
        <w:t>any other persons who are entitled to equal treatment to Maltese citizens in</w:t>
      </w:r>
      <w:r w:rsidR="004F2079" w:rsidRPr="002573C8">
        <w:rPr>
          <w:lang w:eastAsia="en-GB"/>
        </w:rPr>
        <w:t xml:space="preserve"> </w:t>
      </w:r>
      <w:r w:rsidRPr="002573C8">
        <w:rPr>
          <w:lang w:eastAsia="en-GB"/>
        </w:rPr>
        <w:t>matters related to employment in terms of the law or the above-mentioned EU</w:t>
      </w:r>
      <w:r w:rsidR="004F2079" w:rsidRPr="002573C8">
        <w:rPr>
          <w:lang w:eastAsia="en-GB"/>
        </w:rPr>
        <w:t xml:space="preserve"> </w:t>
      </w:r>
      <w:r w:rsidRPr="002573C8">
        <w:rPr>
          <w:lang w:eastAsia="en-GB"/>
        </w:rPr>
        <w:t>legislation and treaty provisions, on account of their family relationship with</w:t>
      </w:r>
      <w:r w:rsidR="004F2079" w:rsidRPr="002573C8">
        <w:rPr>
          <w:lang w:eastAsia="en-GB"/>
        </w:rPr>
        <w:t xml:space="preserve"> </w:t>
      </w:r>
      <w:r w:rsidRPr="002573C8">
        <w:rPr>
          <w:lang w:eastAsia="en-GB"/>
        </w:rPr>
        <w:t>persons mentioned in paragraph (</w:t>
      </w:r>
      <w:proofErr w:type="spellStart"/>
      <w:r w:rsidRPr="002573C8">
        <w:rPr>
          <w:lang w:eastAsia="en-GB"/>
        </w:rPr>
        <w:t>i</w:t>
      </w:r>
      <w:proofErr w:type="spellEnd"/>
      <w:r w:rsidRPr="002573C8">
        <w:rPr>
          <w:lang w:eastAsia="en-GB"/>
        </w:rPr>
        <w:t>), (ii) (iii); or</w:t>
      </w:r>
    </w:p>
    <w:p w14:paraId="4AADA1A9" w14:textId="77777777" w:rsidR="009D7533" w:rsidRPr="002573C8" w:rsidRDefault="009D7533" w:rsidP="009F1DDF">
      <w:pPr>
        <w:pStyle w:val="ListParagraph"/>
        <w:ind w:left="993"/>
        <w:rPr>
          <w:lang w:eastAsia="en-GB"/>
        </w:rPr>
      </w:pPr>
    </w:p>
    <w:p w14:paraId="4AADA1AA" w14:textId="77777777" w:rsidR="004F2079" w:rsidRPr="002573C8" w:rsidRDefault="00F37397" w:rsidP="000773C4">
      <w:pPr>
        <w:pStyle w:val="ListParagraph"/>
        <w:numPr>
          <w:ilvl w:val="0"/>
          <w:numId w:val="4"/>
        </w:numPr>
        <w:ind w:left="993"/>
        <w:jc w:val="both"/>
        <w:rPr>
          <w:lang w:eastAsia="en-GB"/>
        </w:rPr>
      </w:pPr>
      <w:r w:rsidRPr="002573C8">
        <w:rPr>
          <w:lang w:eastAsia="en-GB"/>
        </w:rPr>
        <w:t>third country nationals who have been granted long-term resident status in</w:t>
      </w:r>
      <w:r w:rsidR="004F2079" w:rsidRPr="002573C8">
        <w:rPr>
          <w:lang w:eastAsia="en-GB"/>
        </w:rPr>
        <w:t xml:space="preserve"> </w:t>
      </w:r>
      <w:r w:rsidRPr="002573C8">
        <w:rPr>
          <w:lang w:eastAsia="en-GB"/>
        </w:rPr>
        <w:t>Malta</w:t>
      </w:r>
      <w:r w:rsidR="004F2079" w:rsidRPr="002573C8">
        <w:rPr>
          <w:lang w:eastAsia="en-GB"/>
        </w:rPr>
        <w:t xml:space="preserve"> </w:t>
      </w:r>
      <w:r w:rsidRPr="002573C8">
        <w:rPr>
          <w:lang w:eastAsia="en-GB"/>
        </w:rPr>
        <w:t>under regulation 4 of the “Status of Long-Term Residents (Third Country</w:t>
      </w:r>
      <w:r w:rsidR="004F2079" w:rsidRPr="002573C8">
        <w:rPr>
          <w:lang w:eastAsia="en-GB"/>
        </w:rPr>
        <w:t xml:space="preserve"> </w:t>
      </w:r>
      <w:r w:rsidRPr="002573C8">
        <w:rPr>
          <w:lang w:eastAsia="en-GB"/>
        </w:rPr>
        <w:t>Nationals) Regulations, 2006” or who have been granted a residence permit under</w:t>
      </w:r>
      <w:r w:rsidR="004F2079" w:rsidRPr="002573C8">
        <w:rPr>
          <w:lang w:eastAsia="en-GB"/>
        </w:rPr>
        <w:t xml:space="preserve"> </w:t>
      </w:r>
      <w:r w:rsidRPr="002573C8">
        <w:rPr>
          <w:lang w:eastAsia="en-GB"/>
        </w:rPr>
        <w:t>regulation 18(3) thereof, together with family members of such third country</w:t>
      </w:r>
      <w:r w:rsidR="004F2079" w:rsidRPr="002573C8">
        <w:rPr>
          <w:lang w:eastAsia="en-GB"/>
        </w:rPr>
        <w:t xml:space="preserve"> </w:t>
      </w:r>
      <w:r w:rsidRPr="002573C8">
        <w:rPr>
          <w:lang w:eastAsia="en-GB"/>
        </w:rPr>
        <w:t>nationals who have been granted a residence permit under the “Family</w:t>
      </w:r>
      <w:r w:rsidR="004F2079" w:rsidRPr="002573C8">
        <w:rPr>
          <w:lang w:eastAsia="en-GB"/>
        </w:rPr>
        <w:t xml:space="preserve"> </w:t>
      </w:r>
      <w:r w:rsidRPr="002573C8">
        <w:rPr>
          <w:lang w:eastAsia="en-GB"/>
        </w:rPr>
        <w:t>Reunification Regulations, 2007”. The advice of the Citizenship and Expatriates</w:t>
      </w:r>
      <w:r w:rsidR="004F2079" w:rsidRPr="002573C8">
        <w:rPr>
          <w:lang w:eastAsia="en-GB"/>
        </w:rPr>
        <w:t xml:space="preserve"> </w:t>
      </w:r>
      <w:r w:rsidRPr="002573C8">
        <w:rPr>
          <w:lang w:eastAsia="en-GB"/>
        </w:rPr>
        <w:t>Department should be sought as necessary in the interpretation of the above</w:t>
      </w:r>
      <w:r w:rsidR="004F2079" w:rsidRPr="002573C8">
        <w:rPr>
          <w:lang w:eastAsia="en-GB"/>
        </w:rPr>
        <w:t xml:space="preserve"> </w:t>
      </w:r>
      <w:r w:rsidRPr="002573C8">
        <w:rPr>
          <w:lang w:eastAsia="en-GB"/>
        </w:rPr>
        <w:t>provisions</w:t>
      </w:r>
      <w:r w:rsidR="00FB05CC" w:rsidRPr="002573C8">
        <w:rPr>
          <w:lang w:eastAsia="en-GB"/>
        </w:rPr>
        <w:t>.</w:t>
      </w:r>
      <w:r w:rsidR="00B91C58" w:rsidRPr="002573C8">
        <w:rPr>
          <w:lang w:eastAsia="en-GB"/>
        </w:rPr>
        <w:t xml:space="preserve"> </w:t>
      </w:r>
      <w:r w:rsidRPr="002573C8">
        <w:rPr>
          <w:lang w:eastAsia="en-GB"/>
        </w:rPr>
        <w:t>The appointment of candidates referred to at (ii), (iii), (iv) and (v) above</w:t>
      </w:r>
      <w:r w:rsidR="004F2079" w:rsidRPr="002573C8">
        <w:rPr>
          <w:lang w:eastAsia="en-GB"/>
        </w:rPr>
        <w:t xml:space="preserve"> </w:t>
      </w:r>
      <w:r w:rsidRPr="002573C8">
        <w:rPr>
          <w:lang w:eastAsia="en-GB"/>
        </w:rPr>
        <w:t>would necessitate the issue of an employment licence in so far as this is required</w:t>
      </w:r>
      <w:r w:rsidR="004F2079" w:rsidRPr="002573C8">
        <w:rPr>
          <w:lang w:eastAsia="en-GB"/>
        </w:rPr>
        <w:t xml:space="preserve"> </w:t>
      </w:r>
      <w:r w:rsidRPr="002573C8">
        <w:rPr>
          <w:lang w:eastAsia="en-GB"/>
        </w:rPr>
        <w:t>by the Immigration Act and subsidiary legislation. The Employment and Training</w:t>
      </w:r>
      <w:r w:rsidR="004F2079" w:rsidRPr="002573C8">
        <w:rPr>
          <w:lang w:eastAsia="en-GB"/>
        </w:rPr>
        <w:t xml:space="preserve"> </w:t>
      </w:r>
      <w:r w:rsidRPr="002573C8">
        <w:rPr>
          <w:lang w:eastAsia="en-GB"/>
        </w:rPr>
        <w:t>Corporation should be</w:t>
      </w:r>
      <w:r w:rsidR="004F2079" w:rsidRPr="002573C8">
        <w:rPr>
          <w:lang w:eastAsia="en-GB"/>
        </w:rPr>
        <w:t xml:space="preserve"> </w:t>
      </w:r>
      <w:r w:rsidRPr="002573C8">
        <w:rPr>
          <w:lang w:eastAsia="en-GB"/>
        </w:rPr>
        <w:t>consulted</w:t>
      </w:r>
      <w:r w:rsidR="004F2079" w:rsidRPr="002573C8">
        <w:rPr>
          <w:lang w:eastAsia="en-GB"/>
        </w:rPr>
        <w:t xml:space="preserve"> </w:t>
      </w:r>
      <w:r w:rsidRPr="002573C8">
        <w:rPr>
          <w:lang w:eastAsia="en-GB"/>
        </w:rPr>
        <w:t>as necessary on this issue.</w:t>
      </w:r>
    </w:p>
    <w:p w14:paraId="4AADA1AB" w14:textId="77777777" w:rsidR="00CA0FDE" w:rsidRPr="002573C8" w:rsidRDefault="00CA0FDE" w:rsidP="009F1DDF">
      <w:pPr>
        <w:pStyle w:val="ListParagraph"/>
        <w:ind w:left="993"/>
        <w:rPr>
          <w:lang w:eastAsia="en-GB"/>
        </w:rPr>
      </w:pPr>
    </w:p>
    <w:p w14:paraId="4AADA1AC" w14:textId="77777777" w:rsidR="00CA0FDE" w:rsidRPr="002573C8" w:rsidRDefault="00CA0FDE" w:rsidP="000773C4">
      <w:pPr>
        <w:pStyle w:val="ListParagraph"/>
        <w:numPr>
          <w:ilvl w:val="0"/>
          <w:numId w:val="5"/>
        </w:numPr>
        <w:ind w:left="993"/>
        <w:jc w:val="both"/>
        <w:rPr>
          <w:vanish/>
          <w:lang w:eastAsia="en-GB"/>
        </w:rPr>
      </w:pPr>
    </w:p>
    <w:p w14:paraId="4AADA1AD" w14:textId="77777777" w:rsidR="00CA0FDE" w:rsidRPr="002573C8" w:rsidRDefault="00CA0FDE" w:rsidP="000773C4">
      <w:pPr>
        <w:pStyle w:val="ListParagraph"/>
        <w:numPr>
          <w:ilvl w:val="0"/>
          <w:numId w:val="6"/>
        </w:numPr>
        <w:ind w:left="993" w:hanging="207"/>
        <w:jc w:val="both"/>
        <w:rPr>
          <w:vanish/>
          <w:lang w:eastAsia="en-GB"/>
        </w:rPr>
      </w:pPr>
    </w:p>
    <w:p w14:paraId="4AADA1AE" w14:textId="77777777" w:rsidR="00E00B01" w:rsidRPr="002573C8" w:rsidRDefault="00F37397" w:rsidP="00E00B01">
      <w:pPr>
        <w:pStyle w:val="ListParagraph"/>
        <w:numPr>
          <w:ilvl w:val="0"/>
          <w:numId w:val="5"/>
        </w:numPr>
        <w:jc w:val="both"/>
        <w:rPr>
          <w:lang w:eastAsia="en-GB"/>
        </w:rPr>
      </w:pPr>
      <w:r w:rsidRPr="002573C8">
        <w:rPr>
          <w:lang w:eastAsia="en-GB"/>
        </w:rPr>
        <w:t xml:space="preserve">able to communicate in the Maltese and English </w:t>
      </w:r>
      <w:proofErr w:type="gramStart"/>
      <w:r w:rsidRPr="002573C8">
        <w:rPr>
          <w:lang w:eastAsia="en-GB"/>
        </w:rPr>
        <w:t>languages;</w:t>
      </w:r>
      <w:proofErr w:type="gramEnd"/>
      <w:r w:rsidR="004F2079" w:rsidRPr="002573C8">
        <w:rPr>
          <w:lang w:eastAsia="en-GB"/>
        </w:rPr>
        <w:t xml:space="preserve">  </w:t>
      </w:r>
    </w:p>
    <w:p w14:paraId="4AADA1AF" w14:textId="77777777" w:rsidR="00E00B01" w:rsidRPr="002573C8" w:rsidRDefault="00E00B01" w:rsidP="00E00B01">
      <w:pPr>
        <w:pStyle w:val="ListParagraph"/>
        <w:jc w:val="both"/>
        <w:rPr>
          <w:lang w:eastAsia="en-GB"/>
        </w:rPr>
      </w:pPr>
    </w:p>
    <w:p w14:paraId="4AADA1B0" w14:textId="77777777" w:rsidR="004F2079" w:rsidRPr="002573C8" w:rsidRDefault="00F37397" w:rsidP="00E00B01">
      <w:pPr>
        <w:pStyle w:val="ListParagraph"/>
        <w:numPr>
          <w:ilvl w:val="0"/>
          <w:numId w:val="5"/>
        </w:numPr>
        <w:jc w:val="both"/>
        <w:rPr>
          <w:lang w:eastAsia="en-GB"/>
        </w:rPr>
      </w:pPr>
      <w:r w:rsidRPr="002573C8">
        <w:rPr>
          <w:lang w:eastAsia="en-GB"/>
        </w:rPr>
        <w:t xml:space="preserve">of good moral </w:t>
      </w:r>
      <w:proofErr w:type="gramStart"/>
      <w:r w:rsidRPr="002573C8">
        <w:rPr>
          <w:lang w:eastAsia="en-GB"/>
        </w:rPr>
        <w:t>character;</w:t>
      </w:r>
      <w:proofErr w:type="gramEnd"/>
      <w:r w:rsidRPr="002573C8">
        <w:rPr>
          <w:lang w:eastAsia="en-GB"/>
        </w:rPr>
        <w:t xml:space="preserve"> </w:t>
      </w:r>
      <w:r w:rsidR="00FB05CC" w:rsidRPr="002573C8">
        <w:rPr>
          <w:lang w:eastAsia="en-GB"/>
        </w:rPr>
        <w:t>Teachers</w:t>
      </w:r>
      <w:r w:rsidR="002A1853" w:rsidRPr="002573C8">
        <w:rPr>
          <w:lang w:eastAsia="en-GB"/>
        </w:rPr>
        <w:t xml:space="preserve"> </w:t>
      </w:r>
      <w:r w:rsidR="00FB05CC" w:rsidRPr="002573C8">
        <w:rPr>
          <w:lang w:eastAsia="en-GB"/>
        </w:rPr>
        <w:t>may</w:t>
      </w:r>
      <w:r w:rsidRPr="002573C8">
        <w:rPr>
          <w:lang w:eastAsia="en-GB"/>
        </w:rPr>
        <w:t xml:space="preserve"> be required to produce a Certificate of conduct issued by the Police or other competent authority not earlier than </w:t>
      </w:r>
      <w:r w:rsidR="003B461F" w:rsidRPr="002573C8">
        <w:rPr>
          <w:lang w:eastAsia="en-GB"/>
        </w:rPr>
        <w:t>one</w:t>
      </w:r>
      <w:r w:rsidRPr="002573C8">
        <w:rPr>
          <w:lang w:eastAsia="en-GB"/>
        </w:rPr>
        <w:t xml:space="preserve"> (</w:t>
      </w:r>
      <w:r w:rsidR="003B461F" w:rsidRPr="002573C8">
        <w:rPr>
          <w:lang w:eastAsia="en-GB"/>
        </w:rPr>
        <w:t>1</w:t>
      </w:r>
      <w:r w:rsidRPr="002573C8">
        <w:rPr>
          <w:lang w:eastAsia="en-GB"/>
        </w:rPr>
        <w:t>) month from the</w:t>
      </w:r>
      <w:r w:rsidR="00FB05CC" w:rsidRPr="002573C8">
        <w:rPr>
          <w:lang w:eastAsia="en-GB"/>
        </w:rPr>
        <w:t>ir</w:t>
      </w:r>
      <w:r w:rsidR="002A1853" w:rsidRPr="002573C8">
        <w:rPr>
          <w:lang w:eastAsia="en-GB"/>
        </w:rPr>
        <w:t xml:space="preserve"> </w:t>
      </w:r>
      <w:r w:rsidR="00FB05CC" w:rsidRPr="002573C8">
        <w:rPr>
          <w:lang w:eastAsia="en-GB"/>
        </w:rPr>
        <w:t>request to join the MFM</w:t>
      </w:r>
      <w:r w:rsidRPr="002573C8">
        <w:rPr>
          <w:lang w:eastAsia="en-GB"/>
        </w:rPr>
        <w:t>;</w:t>
      </w:r>
    </w:p>
    <w:p w14:paraId="4AADA1B1" w14:textId="77777777" w:rsidR="005B4F04" w:rsidRPr="002573C8" w:rsidRDefault="005B4F04" w:rsidP="009F1DDF">
      <w:pPr>
        <w:pStyle w:val="ListParagraph"/>
        <w:ind w:left="993"/>
        <w:rPr>
          <w:lang w:eastAsia="en-GB"/>
        </w:rPr>
      </w:pPr>
    </w:p>
    <w:p w14:paraId="4AADA1B2" w14:textId="77777777" w:rsidR="00697770" w:rsidRPr="002573C8" w:rsidRDefault="00697770" w:rsidP="00697770">
      <w:pPr>
        <w:pStyle w:val="ListParagraph"/>
        <w:rPr>
          <w:lang w:eastAsia="en-GB"/>
        </w:rPr>
      </w:pPr>
    </w:p>
    <w:p w14:paraId="4AADA1B3" w14:textId="77777777" w:rsidR="00697770" w:rsidRPr="002573C8" w:rsidRDefault="00697770" w:rsidP="00697770">
      <w:pPr>
        <w:pStyle w:val="ListParagraph"/>
        <w:numPr>
          <w:ilvl w:val="0"/>
          <w:numId w:val="7"/>
        </w:numPr>
        <w:jc w:val="both"/>
        <w:rPr>
          <w:lang w:eastAsia="en-GB"/>
        </w:rPr>
      </w:pPr>
      <w:r w:rsidRPr="002573C8">
        <w:rPr>
          <w:lang w:eastAsia="en-GB"/>
        </w:rPr>
        <w:t xml:space="preserve">in possession of a related first degree (MQF level 6) in addition to a related </w:t>
      </w:r>
      <w:proofErr w:type="gramStart"/>
      <w:r w:rsidRPr="002573C8">
        <w:rPr>
          <w:lang w:eastAsia="en-GB"/>
        </w:rPr>
        <w:t>Master’s</w:t>
      </w:r>
      <w:proofErr w:type="gramEnd"/>
      <w:r w:rsidRPr="002573C8">
        <w:rPr>
          <w:lang w:eastAsia="en-GB"/>
        </w:rPr>
        <w:t xml:space="preserve"> degree (MQF level 7) or a recognised appropriate comparable qualification in Music Theory and/or Performance in order to teach modules at MQF levels 6 and 7.</w:t>
      </w:r>
    </w:p>
    <w:p w14:paraId="4AADA1B4" w14:textId="77777777" w:rsidR="00697770" w:rsidRPr="002573C8" w:rsidRDefault="00697770" w:rsidP="00697770">
      <w:pPr>
        <w:jc w:val="both"/>
        <w:rPr>
          <w:lang w:eastAsia="en-GB"/>
        </w:rPr>
      </w:pPr>
    </w:p>
    <w:p w14:paraId="4AADA1B5" w14:textId="77777777" w:rsidR="00697770" w:rsidRPr="002573C8" w:rsidRDefault="00697770" w:rsidP="00697770">
      <w:pPr>
        <w:pStyle w:val="ListParagraph"/>
        <w:numPr>
          <w:ilvl w:val="0"/>
          <w:numId w:val="7"/>
        </w:numPr>
        <w:jc w:val="both"/>
        <w:rPr>
          <w:lang w:eastAsia="en-GB"/>
        </w:rPr>
      </w:pPr>
      <w:r w:rsidRPr="002573C8">
        <w:rPr>
          <w:lang w:eastAsia="en-GB"/>
        </w:rPr>
        <w:t xml:space="preserve">in possession of a Bachelor of Education (Hons) or a First Degree (MQF level 6) and a Post-Graduate Certificate in Education (MQF level 6) or a recognised appropriate comparable qualification in Music Theory and/or Performance in order to teach modules up to and including MQF level </w:t>
      </w:r>
      <w:proofErr w:type="gramStart"/>
      <w:r w:rsidRPr="002573C8">
        <w:rPr>
          <w:lang w:eastAsia="en-GB"/>
        </w:rPr>
        <w:t>5 .</w:t>
      </w:r>
      <w:proofErr w:type="gramEnd"/>
    </w:p>
    <w:p w14:paraId="4AADA1B6" w14:textId="77777777" w:rsidR="00697770" w:rsidRPr="002573C8" w:rsidRDefault="00697770" w:rsidP="00697770">
      <w:pPr>
        <w:jc w:val="both"/>
        <w:rPr>
          <w:lang w:eastAsia="en-GB"/>
        </w:rPr>
      </w:pPr>
    </w:p>
    <w:p w14:paraId="4AADA1B7" w14:textId="77777777" w:rsidR="00697770" w:rsidRPr="002573C8" w:rsidRDefault="00697770" w:rsidP="00697770">
      <w:pPr>
        <w:pStyle w:val="ListParagraph"/>
        <w:numPr>
          <w:ilvl w:val="0"/>
          <w:numId w:val="7"/>
        </w:numPr>
        <w:ind w:left="993"/>
        <w:jc w:val="both"/>
        <w:rPr>
          <w:lang w:eastAsia="en-GB"/>
        </w:rPr>
      </w:pPr>
      <w:r w:rsidRPr="002573C8">
        <w:rPr>
          <w:lang w:eastAsia="en-GB"/>
        </w:rPr>
        <w:t xml:space="preserve">in possession of an Advance Matriculation Level (minimum Grade C) or a related recognised comparable qualification (MQF level 4) or higher in Music Theory and/or </w:t>
      </w:r>
      <w:r w:rsidRPr="002573C8">
        <w:rPr>
          <w:lang w:eastAsia="en-GB"/>
        </w:rPr>
        <w:lastRenderedPageBreak/>
        <w:t>Performance or a relevant comparable qualification recognised by the NCFHE and passes at Ordinary Level Secondary Education Certificate (Grade 1-5) (MQF level 3) or comparable in English Language, Maltese and one other subject in order to teach modules up to and including MQF level 3.</w:t>
      </w:r>
    </w:p>
    <w:p w14:paraId="4AADA1B8" w14:textId="77777777" w:rsidR="00697770" w:rsidRPr="002573C8" w:rsidRDefault="00697770" w:rsidP="00697770">
      <w:pPr>
        <w:pStyle w:val="ListParagraph"/>
        <w:numPr>
          <w:ilvl w:val="0"/>
          <w:numId w:val="8"/>
        </w:numPr>
        <w:ind w:left="993"/>
        <w:jc w:val="both"/>
        <w:rPr>
          <w:vanish/>
          <w:highlight w:val="yellow"/>
          <w:lang w:eastAsia="en-GB"/>
        </w:rPr>
      </w:pPr>
    </w:p>
    <w:p w14:paraId="4AADA1B9" w14:textId="77777777" w:rsidR="00697770" w:rsidRPr="002573C8" w:rsidRDefault="00697770" w:rsidP="00697770">
      <w:pPr>
        <w:pStyle w:val="ListParagraph"/>
        <w:numPr>
          <w:ilvl w:val="0"/>
          <w:numId w:val="6"/>
        </w:numPr>
        <w:ind w:left="993"/>
        <w:jc w:val="both"/>
        <w:rPr>
          <w:vanish/>
          <w:lang w:eastAsia="en-GB"/>
        </w:rPr>
      </w:pPr>
    </w:p>
    <w:p w14:paraId="4AADA1BA" w14:textId="77777777" w:rsidR="00697770" w:rsidRPr="002573C8" w:rsidRDefault="00697770" w:rsidP="00EF61B2">
      <w:pPr>
        <w:pStyle w:val="ListParagraph"/>
        <w:numPr>
          <w:ilvl w:val="0"/>
          <w:numId w:val="12"/>
        </w:numPr>
        <w:jc w:val="both"/>
        <w:rPr>
          <w:lang w:eastAsia="en-GB"/>
        </w:rPr>
      </w:pPr>
      <w:r w:rsidRPr="002573C8">
        <w:rPr>
          <w:lang w:eastAsia="en-GB"/>
        </w:rPr>
        <w:t xml:space="preserve">in possession of PA (previously MEPA) Compliance Certification in accordance with NCFHE requirements (Appendix). </w:t>
      </w:r>
    </w:p>
    <w:p w14:paraId="4AADA1BB" w14:textId="77777777" w:rsidR="00697770" w:rsidRPr="002573C8" w:rsidRDefault="00697770" w:rsidP="00697770">
      <w:pPr>
        <w:pStyle w:val="ListParagraph"/>
        <w:rPr>
          <w:lang w:eastAsia="en-GB"/>
        </w:rPr>
      </w:pPr>
    </w:p>
    <w:p w14:paraId="4AADA1BC" w14:textId="77777777" w:rsidR="008F42AE" w:rsidRPr="002573C8" w:rsidRDefault="008F42AE" w:rsidP="009F1DDF">
      <w:pPr>
        <w:ind w:left="284" w:hanging="284"/>
        <w:jc w:val="both"/>
        <w:rPr>
          <w:lang w:eastAsia="en-GB"/>
        </w:rPr>
      </w:pPr>
      <w:r w:rsidRPr="002573C8">
        <w:rPr>
          <w:lang w:eastAsia="en-GB"/>
        </w:rPr>
        <w:t>3</w:t>
      </w:r>
      <w:r w:rsidR="009F1DDF" w:rsidRPr="002573C8">
        <w:rPr>
          <w:lang w:eastAsia="en-GB"/>
        </w:rPr>
        <w:t>. Teachers who wish to teach the program of studies as stipulated by the MFM will attend a</w:t>
      </w:r>
      <w:r w:rsidR="00562DC1" w:rsidRPr="002573C8">
        <w:rPr>
          <w:lang w:eastAsia="en-GB"/>
        </w:rPr>
        <w:t>n</w:t>
      </w:r>
      <w:r w:rsidR="009F1DDF" w:rsidRPr="002573C8">
        <w:rPr>
          <w:lang w:eastAsia="en-GB"/>
        </w:rPr>
        <w:t xml:space="preserve"> </w:t>
      </w:r>
      <w:r w:rsidR="00562DC1" w:rsidRPr="002573C8">
        <w:rPr>
          <w:lang w:eastAsia="en-GB"/>
        </w:rPr>
        <w:t xml:space="preserve">introductory </w:t>
      </w:r>
      <w:r w:rsidR="009F1DDF" w:rsidRPr="002573C8">
        <w:rPr>
          <w:lang w:eastAsia="en-GB"/>
        </w:rPr>
        <w:t xml:space="preserve">meeting with the Principal </w:t>
      </w:r>
      <w:r w:rsidR="00562DC1" w:rsidRPr="002573C8">
        <w:rPr>
          <w:lang w:eastAsia="en-GB"/>
        </w:rPr>
        <w:t xml:space="preserve">and the Academic Director </w:t>
      </w:r>
      <w:r w:rsidR="009F1DDF" w:rsidRPr="002573C8">
        <w:rPr>
          <w:lang w:eastAsia="en-GB"/>
        </w:rPr>
        <w:t>to discuss</w:t>
      </w:r>
      <w:r w:rsidR="00720070" w:rsidRPr="002573C8">
        <w:rPr>
          <w:lang w:eastAsia="en-GB"/>
        </w:rPr>
        <w:t>:</w:t>
      </w:r>
    </w:p>
    <w:p w14:paraId="4AADA1BD" w14:textId="77777777" w:rsidR="00720070" w:rsidRPr="002573C8" w:rsidRDefault="009F1DDF" w:rsidP="000773C4">
      <w:pPr>
        <w:pStyle w:val="ListParagraph"/>
        <w:numPr>
          <w:ilvl w:val="0"/>
          <w:numId w:val="3"/>
        </w:numPr>
        <w:ind w:left="993"/>
        <w:jc w:val="both"/>
      </w:pPr>
      <w:r w:rsidRPr="002573C8">
        <w:t>f</w:t>
      </w:r>
      <w:r w:rsidR="00720070" w:rsidRPr="002573C8">
        <w:t>amiliarisation with the vision and policies</w:t>
      </w:r>
      <w:r w:rsidR="005B4F04" w:rsidRPr="002573C8">
        <w:t xml:space="preserve"> </w:t>
      </w:r>
      <w:r w:rsidR="00720070" w:rsidRPr="002573C8">
        <w:t>of the</w:t>
      </w:r>
      <w:r w:rsidR="005B4F04" w:rsidRPr="002573C8">
        <w:t xml:space="preserve"> </w:t>
      </w:r>
      <w:r w:rsidR="00720070" w:rsidRPr="002573C8">
        <w:t>MFM</w:t>
      </w:r>
      <w:r w:rsidR="001020B4" w:rsidRPr="002573C8">
        <w:t xml:space="preserve"> which will be available on the website and a copy of which will be presented to each teacher upon induction,</w:t>
      </w:r>
    </w:p>
    <w:p w14:paraId="4AADA1BE" w14:textId="77777777" w:rsidR="00720070" w:rsidRPr="002573C8" w:rsidRDefault="009F1DDF" w:rsidP="000773C4">
      <w:pPr>
        <w:pStyle w:val="ListParagraph"/>
        <w:numPr>
          <w:ilvl w:val="0"/>
          <w:numId w:val="3"/>
        </w:numPr>
        <w:ind w:left="993"/>
        <w:jc w:val="both"/>
      </w:pPr>
      <w:r w:rsidRPr="002573C8">
        <w:t>k</w:t>
      </w:r>
      <w:r w:rsidR="00720070" w:rsidRPr="002573C8">
        <w:t>nowledge of subject be it theory or practical</w:t>
      </w:r>
      <w:r w:rsidRPr="002573C8">
        <w:t>,</w:t>
      </w:r>
    </w:p>
    <w:p w14:paraId="4AADA1BF" w14:textId="77777777" w:rsidR="00720070" w:rsidRPr="002573C8" w:rsidRDefault="009F1DDF" w:rsidP="000773C4">
      <w:pPr>
        <w:pStyle w:val="ListParagraph"/>
        <w:numPr>
          <w:ilvl w:val="0"/>
          <w:numId w:val="3"/>
        </w:numPr>
        <w:ind w:left="993"/>
        <w:jc w:val="both"/>
      </w:pPr>
      <w:r w:rsidRPr="002573C8">
        <w:t>m</w:t>
      </w:r>
      <w:r w:rsidR="00720070" w:rsidRPr="002573C8">
        <w:t>ethodology of the teaching of music</w:t>
      </w:r>
      <w:r w:rsidR="006378FB" w:rsidRPr="002573C8">
        <w:t xml:space="preserve"> </w:t>
      </w:r>
      <w:r w:rsidR="00720070" w:rsidRPr="002573C8">
        <w:t>and differentiation</w:t>
      </w:r>
      <w:r w:rsidRPr="002573C8">
        <w:t>,</w:t>
      </w:r>
    </w:p>
    <w:p w14:paraId="4AADA1C0" w14:textId="77777777" w:rsidR="00720070" w:rsidRPr="002573C8" w:rsidRDefault="009F1DDF" w:rsidP="000773C4">
      <w:pPr>
        <w:pStyle w:val="ListParagraph"/>
        <w:numPr>
          <w:ilvl w:val="0"/>
          <w:numId w:val="3"/>
        </w:numPr>
        <w:ind w:left="993"/>
        <w:jc w:val="both"/>
      </w:pPr>
      <w:r w:rsidRPr="002573C8">
        <w:t>u</w:t>
      </w:r>
      <w:r w:rsidR="00720070" w:rsidRPr="002573C8">
        <w:t>se of ICT and innovative learning strategies</w:t>
      </w:r>
      <w:r w:rsidRPr="002573C8">
        <w:t>,</w:t>
      </w:r>
    </w:p>
    <w:p w14:paraId="4AADA1C1" w14:textId="77777777" w:rsidR="00720070" w:rsidRPr="002573C8" w:rsidRDefault="009F1DDF" w:rsidP="000773C4">
      <w:pPr>
        <w:pStyle w:val="ListParagraph"/>
        <w:numPr>
          <w:ilvl w:val="0"/>
          <w:numId w:val="3"/>
        </w:numPr>
        <w:ind w:left="993"/>
        <w:jc w:val="both"/>
      </w:pPr>
      <w:r w:rsidRPr="002573C8">
        <w:t>k</w:t>
      </w:r>
      <w:r w:rsidR="00720070" w:rsidRPr="002573C8">
        <w:t>nowledge about assessment methodologies</w:t>
      </w:r>
      <w:r w:rsidRPr="002573C8">
        <w:t>,</w:t>
      </w:r>
      <w:r w:rsidR="00720070" w:rsidRPr="002573C8">
        <w:t xml:space="preserve"> </w:t>
      </w:r>
    </w:p>
    <w:p w14:paraId="4AADA1C2" w14:textId="77777777" w:rsidR="00720070" w:rsidRPr="002573C8" w:rsidRDefault="009F1DDF" w:rsidP="000773C4">
      <w:pPr>
        <w:pStyle w:val="ListParagraph"/>
        <w:numPr>
          <w:ilvl w:val="0"/>
          <w:numId w:val="3"/>
        </w:numPr>
        <w:ind w:left="993"/>
        <w:jc w:val="both"/>
      </w:pPr>
      <w:r w:rsidRPr="002573C8">
        <w:t>a</w:t>
      </w:r>
      <w:r w:rsidR="00720070" w:rsidRPr="002573C8">
        <w:t xml:space="preserve">ptitudes and </w:t>
      </w:r>
      <w:r w:rsidRPr="002573C8">
        <w:t>a</w:t>
      </w:r>
      <w:r w:rsidR="00720070" w:rsidRPr="002573C8">
        <w:t>bilities</w:t>
      </w:r>
      <w:r w:rsidRPr="002573C8">
        <w:t>,</w:t>
      </w:r>
      <w:r w:rsidR="00720070" w:rsidRPr="002573C8">
        <w:t xml:space="preserve"> </w:t>
      </w:r>
    </w:p>
    <w:p w14:paraId="4AADA1C3" w14:textId="77777777" w:rsidR="00720070" w:rsidRPr="002573C8" w:rsidRDefault="009F1DDF" w:rsidP="000773C4">
      <w:pPr>
        <w:pStyle w:val="ListParagraph"/>
        <w:numPr>
          <w:ilvl w:val="0"/>
          <w:numId w:val="3"/>
        </w:numPr>
        <w:ind w:left="993"/>
        <w:jc w:val="both"/>
      </w:pPr>
      <w:r w:rsidRPr="002573C8">
        <w:t>a</w:t>
      </w:r>
      <w:r w:rsidR="00720070" w:rsidRPr="002573C8">
        <w:t>bility to communicate in Maltese and in English</w:t>
      </w:r>
      <w:r w:rsidRPr="002573C8">
        <w:t>,</w:t>
      </w:r>
      <w:r w:rsidR="00720070" w:rsidRPr="002573C8">
        <w:t xml:space="preserve"> </w:t>
      </w:r>
    </w:p>
    <w:p w14:paraId="4AADA1C4" w14:textId="77777777" w:rsidR="00720070" w:rsidRPr="002573C8" w:rsidRDefault="009F1DDF" w:rsidP="000773C4">
      <w:pPr>
        <w:pStyle w:val="ListParagraph"/>
        <w:numPr>
          <w:ilvl w:val="0"/>
          <w:numId w:val="3"/>
        </w:numPr>
        <w:ind w:left="993"/>
        <w:jc w:val="both"/>
      </w:pPr>
      <w:r w:rsidRPr="002573C8">
        <w:t>e</w:t>
      </w:r>
      <w:r w:rsidR="00720070" w:rsidRPr="002573C8">
        <w:t>nsuring order and discipline</w:t>
      </w:r>
      <w:r w:rsidRPr="002573C8">
        <w:t>,</w:t>
      </w:r>
      <w:r w:rsidR="00720070" w:rsidRPr="002573C8">
        <w:t xml:space="preserve"> </w:t>
      </w:r>
    </w:p>
    <w:p w14:paraId="4AADA1C5" w14:textId="77777777" w:rsidR="00720070" w:rsidRPr="002573C8" w:rsidRDefault="009F1DDF" w:rsidP="000773C4">
      <w:pPr>
        <w:pStyle w:val="ListParagraph"/>
        <w:numPr>
          <w:ilvl w:val="0"/>
          <w:numId w:val="3"/>
        </w:numPr>
        <w:ind w:left="993"/>
        <w:jc w:val="both"/>
      </w:pPr>
      <w:r w:rsidRPr="002573C8">
        <w:t>o</w:t>
      </w:r>
      <w:r w:rsidR="00720070" w:rsidRPr="002573C8">
        <w:t>rganisational skills</w:t>
      </w:r>
      <w:r w:rsidRPr="002573C8">
        <w:t>,</w:t>
      </w:r>
      <w:r w:rsidR="00720070" w:rsidRPr="002573C8">
        <w:t xml:space="preserve"> </w:t>
      </w:r>
    </w:p>
    <w:p w14:paraId="4AADA1C6" w14:textId="77777777" w:rsidR="00720070" w:rsidRPr="002573C8" w:rsidRDefault="009F1DDF" w:rsidP="000773C4">
      <w:pPr>
        <w:pStyle w:val="ListParagraph"/>
        <w:numPr>
          <w:ilvl w:val="0"/>
          <w:numId w:val="3"/>
        </w:numPr>
        <w:ind w:left="993"/>
        <w:jc w:val="both"/>
      </w:pPr>
      <w:r w:rsidRPr="002573C8">
        <w:t>a</w:t>
      </w:r>
      <w:r w:rsidR="00720070" w:rsidRPr="002573C8">
        <w:t xml:space="preserve">bility to communicate the subject content to </w:t>
      </w:r>
      <w:r w:rsidR="000E7AFF" w:rsidRPr="002573C8">
        <w:t>different age groups</w:t>
      </w:r>
      <w:r w:rsidRPr="002573C8">
        <w:t>,</w:t>
      </w:r>
    </w:p>
    <w:p w14:paraId="4AADA1C7" w14:textId="77777777" w:rsidR="000E7AFF" w:rsidRPr="002573C8" w:rsidRDefault="009F1DDF" w:rsidP="000773C4">
      <w:pPr>
        <w:pStyle w:val="ListParagraph"/>
        <w:numPr>
          <w:ilvl w:val="0"/>
          <w:numId w:val="3"/>
        </w:numPr>
        <w:ind w:left="993"/>
        <w:jc w:val="both"/>
      </w:pPr>
      <w:r w:rsidRPr="002573C8">
        <w:t>r</w:t>
      </w:r>
      <w:r w:rsidR="00720070" w:rsidRPr="002573C8">
        <w:t xml:space="preserve">elated </w:t>
      </w:r>
      <w:r w:rsidR="00AC51C0" w:rsidRPr="002573C8">
        <w:t>q</w:t>
      </w:r>
      <w:r w:rsidR="00720070" w:rsidRPr="002573C8">
        <w:t xml:space="preserve">ualifications and </w:t>
      </w:r>
      <w:r w:rsidR="00AC51C0" w:rsidRPr="002573C8">
        <w:t>e</w:t>
      </w:r>
      <w:r w:rsidR="00720070" w:rsidRPr="002573C8">
        <w:t>xperience</w:t>
      </w:r>
      <w:r w:rsidRPr="002573C8">
        <w:t>,</w:t>
      </w:r>
      <w:r w:rsidR="00720070" w:rsidRPr="002573C8">
        <w:t xml:space="preserve"> </w:t>
      </w:r>
    </w:p>
    <w:p w14:paraId="4AADA1C8" w14:textId="77777777" w:rsidR="000E7AFF" w:rsidRPr="002573C8" w:rsidRDefault="009F1DDF" w:rsidP="000773C4">
      <w:pPr>
        <w:pStyle w:val="ListParagraph"/>
        <w:numPr>
          <w:ilvl w:val="0"/>
          <w:numId w:val="3"/>
        </w:numPr>
        <w:ind w:left="993"/>
        <w:jc w:val="both"/>
      </w:pPr>
      <w:r w:rsidRPr="002573C8">
        <w:t>p</w:t>
      </w:r>
      <w:r w:rsidR="00720070" w:rsidRPr="002573C8">
        <w:t>edagogy related qualifications</w:t>
      </w:r>
      <w:r w:rsidRPr="002573C8">
        <w:t>,</w:t>
      </w:r>
      <w:r w:rsidR="00720070" w:rsidRPr="002573C8">
        <w:t xml:space="preserve"> </w:t>
      </w:r>
    </w:p>
    <w:p w14:paraId="4AADA1C9" w14:textId="77777777" w:rsidR="000E7AFF" w:rsidRPr="002573C8" w:rsidRDefault="009F1DDF" w:rsidP="000773C4">
      <w:pPr>
        <w:pStyle w:val="ListParagraph"/>
        <w:numPr>
          <w:ilvl w:val="0"/>
          <w:numId w:val="3"/>
        </w:numPr>
        <w:ind w:left="993"/>
        <w:jc w:val="both"/>
      </w:pPr>
      <w:r w:rsidRPr="002573C8">
        <w:t>p</w:t>
      </w:r>
      <w:r w:rsidR="00720070" w:rsidRPr="002573C8">
        <w:t>revious teaching</w:t>
      </w:r>
      <w:r w:rsidR="000E7AFF" w:rsidRPr="002573C8">
        <w:t xml:space="preserve"> and/or performance</w:t>
      </w:r>
      <w:r w:rsidR="00720070" w:rsidRPr="002573C8">
        <w:t xml:space="preserve"> experience and initiatives</w:t>
      </w:r>
      <w:r w:rsidRPr="002573C8">
        <w:t>,</w:t>
      </w:r>
      <w:r w:rsidR="00720070" w:rsidRPr="002573C8">
        <w:t xml:space="preserve"> </w:t>
      </w:r>
    </w:p>
    <w:p w14:paraId="4AADA1CA" w14:textId="77777777" w:rsidR="00720070" w:rsidRPr="002573C8" w:rsidRDefault="009F1DDF" w:rsidP="000773C4">
      <w:pPr>
        <w:pStyle w:val="ListParagraph"/>
        <w:numPr>
          <w:ilvl w:val="0"/>
          <w:numId w:val="3"/>
        </w:numPr>
        <w:ind w:left="993"/>
        <w:jc w:val="both"/>
      </w:pPr>
      <w:r w:rsidRPr="002573C8">
        <w:t>p</w:t>
      </w:r>
      <w:r w:rsidR="00720070" w:rsidRPr="002573C8">
        <w:t xml:space="preserve">ersonal </w:t>
      </w:r>
      <w:r w:rsidR="00AC51C0" w:rsidRPr="002573C8">
        <w:t>q</w:t>
      </w:r>
      <w:r w:rsidR="00720070" w:rsidRPr="002573C8">
        <w:t>ualities</w:t>
      </w:r>
      <w:r w:rsidRPr="002573C8">
        <w:t>,</w:t>
      </w:r>
      <w:r w:rsidR="00720070" w:rsidRPr="002573C8">
        <w:t xml:space="preserve"> </w:t>
      </w:r>
    </w:p>
    <w:p w14:paraId="4AADA1CB" w14:textId="77777777" w:rsidR="00720070" w:rsidRPr="002573C8" w:rsidRDefault="009F1DDF" w:rsidP="000773C4">
      <w:pPr>
        <w:pStyle w:val="ListParagraph"/>
        <w:numPr>
          <w:ilvl w:val="0"/>
          <w:numId w:val="3"/>
        </w:numPr>
        <w:ind w:left="993"/>
        <w:jc w:val="both"/>
      </w:pPr>
      <w:r w:rsidRPr="002573C8">
        <w:t>e</w:t>
      </w:r>
      <w:r w:rsidR="00720070" w:rsidRPr="002573C8">
        <w:t xml:space="preserve">xperience in motivating </w:t>
      </w:r>
      <w:r w:rsidR="000E7AFF" w:rsidRPr="002573C8">
        <w:t>students</w:t>
      </w:r>
      <w:r w:rsidR="00720070" w:rsidRPr="002573C8">
        <w:t xml:space="preserve"> to learn</w:t>
      </w:r>
      <w:r w:rsidRPr="002573C8">
        <w:t>,</w:t>
      </w:r>
    </w:p>
    <w:p w14:paraId="4AADA1CC" w14:textId="77777777" w:rsidR="00720070" w:rsidRPr="002573C8" w:rsidRDefault="009F1DDF" w:rsidP="000773C4">
      <w:pPr>
        <w:pStyle w:val="ListParagraph"/>
        <w:numPr>
          <w:ilvl w:val="0"/>
          <w:numId w:val="3"/>
        </w:numPr>
        <w:ind w:left="993"/>
        <w:jc w:val="both"/>
      </w:pPr>
      <w:r w:rsidRPr="002573C8">
        <w:t>p</w:t>
      </w:r>
      <w:r w:rsidR="00720070" w:rsidRPr="002573C8">
        <w:t>roblem solving and planning skills</w:t>
      </w:r>
      <w:r w:rsidRPr="002573C8">
        <w:t>,</w:t>
      </w:r>
      <w:r w:rsidR="00720070" w:rsidRPr="002573C8">
        <w:t xml:space="preserve"> </w:t>
      </w:r>
      <w:r w:rsidRPr="002573C8">
        <w:t>and</w:t>
      </w:r>
    </w:p>
    <w:p w14:paraId="4AADA1CD" w14:textId="77777777" w:rsidR="00720070" w:rsidRPr="002573C8" w:rsidRDefault="009F1DDF" w:rsidP="000773C4">
      <w:pPr>
        <w:pStyle w:val="ListParagraph"/>
        <w:numPr>
          <w:ilvl w:val="0"/>
          <w:numId w:val="3"/>
        </w:numPr>
        <w:ind w:left="993"/>
        <w:jc w:val="both"/>
      </w:pPr>
      <w:r w:rsidRPr="002573C8">
        <w:t>s</w:t>
      </w:r>
      <w:r w:rsidR="009F109A" w:rsidRPr="002573C8">
        <w:t>elf-</w:t>
      </w:r>
      <w:r w:rsidR="00720070" w:rsidRPr="002573C8">
        <w:t>awareness in relation to strengths and weaknesses</w:t>
      </w:r>
      <w:r w:rsidRPr="002573C8">
        <w:t>.</w:t>
      </w:r>
      <w:r w:rsidR="00720070" w:rsidRPr="002573C8">
        <w:t xml:space="preserve"> </w:t>
      </w:r>
    </w:p>
    <w:p w14:paraId="4AADA1CE" w14:textId="77777777" w:rsidR="00BA5833" w:rsidRPr="002573C8" w:rsidRDefault="00BA5833" w:rsidP="00BA5833">
      <w:pPr>
        <w:pStyle w:val="ListParagraph"/>
        <w:jc w:val="both"/>
      </w:pPr>
    </w:p>
    <w:p w14:paraId="4AADA1CF" w14:textId="77777777" w:rsidR="00731453" w:rsidRPr="002573C8" w:rsidRDefault="009F1DDF" w:rsidP="000773C4">
      <w:pPr>
        <w:pStyle w:val="ListParagraph"/>
        <w:numPr>
          <w:ilvl w:val="0"/>
          <w:numId w:val="9"/>
        </w:numPr>
        <w:ind w:left="284" w:hanging="284"/>
        <w:jc w:val="both"/>
        <w:rPr>
          <w:lang w:eastAsia="en-GB"/>
        </w:rPr>
      </w:pPr>
      <w:r w:rsidRPr="002573C8">
        <w:rPr>
          <w:lang w:eastAsia="en-GB"/>
        </w:rPr>
        <w:t>Teachers</w:t>
      </w:r>
      <w:r w:rsidR="00F37397" w:rsidRPr="002573C8">
        <w:rPr>
          <w:lang w:eastAsia="en-GB"/>
        </w:rPr>
        <w:t xml:space="preserve"> must provide transcripts of their qualifications. Qualifications and experience claimed must be supported by certificates and/or testimonials</w:t>
      </w:r>
      <w:r w:rsidR="00497C7F" w:rsidRPr="002573C8">
        <w:rPr>
          <w:lang w:eastAsia="en-GB"/>
        </w:rPr>
        <w:t>.</w:t>
      </w:r>
    </w:p>
    <w:p w14:paraId="4AADA1D0" w14:textId="77777777" w:rsidR="00731453" w:rsidRPr="002573C8" w:rsidRDefault="00731453" w:rsidP="00BA5833">
      <w:pPr>
        <w:ind w:left="567" w:hanging="567"/>
        <w:jc w:val="both"/>
        <w:rPr>
          <w:lang w:eastAsia="en-GB"/>
        </w:rPr>
      </w:pPr>
      <w:r w:rsidRPr="002573C8">
        <w:rPr>
          <w:lang w:eastAsia="en-GB"/>
        </w:rPr>
        <w:t>5</w:t>
      </w:r>
      <w:r w:rsidR="00F37397" w:rsidRPr="002573C8">
        <w:rPr>
          <w:lang w:eastAsia="en-GB"/>
        </w:rPr>
        <w:t>. (a) With respect to qualifications produced</w:t>
      </w:r>
      <w:r w:rsidR="004E7855" w:rsidRPr="002573C8">
        <w:rPr>
          <w:lang w:eastAsia="en-GB"/>
        </w:rPr>
        <w:t>,</w:t>
      </w:r>
      <w:r w:rsidR="00F37397" w:rsidRPr="002573C8">
        <w:rPr>
          <w:lang w:eastAsia="en-GB"/>
        </w:rPr>
        <w:t xml:space="preserve"> </w:t>
      </w:r>
      <w:r w:rsidR="00504CCC" w:rsidRPr="002573C8">
        <w:rPr>
          <w:lang w:eastAsia="en-GB"/>
        </w:rPr>
        <w:t>Prospective T</w:t>
      </w:r>
      <w:r w:rsidR="00562DC1" w:rsidRPr="002573C8">
        <w:rPr>
          <w:lang w:eastAsia="en-GB"/>
        </w:rPr>
        <w:t>eachers</w:t>
      </w:r>
      <w:r w:rsidR="00F37397" w:rsidRPr="002573C8">
        <w:rPr>
          <w:lang w:eastAsia="en-GB"/>
        </w:rPr>
        <w:t xml:space="preserve"> are required to produce a recognition statement by the Malta Qualifications Recognition Information Centre (MQRIC) based within the </w:t>
      </w:r>
      <w:r w:rsidR="004734DE" w:rsidRPr="002573C8">
        <w:rPr>
          <w:lang w:eastAsia="en-GB"/>
        </w:rPr>
        <w:t>National Council for Further and Higher Education</w:t>
      </w:r>
      <w:r w:rsidR="00F37397" w:rsidRPr="002573C8">
        <w:rPr>
          <w:lang w:eastAsia="en-GB"/>
        </w:rPr>
        <w:t xml:space="preserve">, or by any other designated authority, as applicable. </w:t>
      </w:r>
    </w:p>
    <w:p w14:paraId="4AADA1D1" w14:textId="77777777" w:rsidR="00731453" w:rsidRPr="002573C8" w:rsidRDefault="00F37397" w:rsidP="00BA5833">
      <w:pPr>
        <w:ind w:left="567" w:hanging="283"/>
        <w:jc w:val="both"/>
        <w:rPr>
          <w:lang w:eastAsia="en-GB"/>
        </w:rPr>
      </w:pPr>
      <w:r w:rsidRPr="002573C8">
        <w:rPr>
          <w:lang w:eastAsia="en-GB"/>
        </w:rPr>
        <w:t xml:space="preserve">(b) </w:t>
      </w:r>
      <w:r w:rsidR="00504CCC" w:rsidRPr="002573C8">
        <w:rPr>
          <w:lang w:eastAsia="en-GB"/>
        </w:rPr>
        <w:t>Prospective Teachers</w:t>
      </w:r>
      <w:r w:rsidR="00562DC1" w:rsidRPr="002573C8">
        <w:rPr>
          <w:lang w:eastAsia="en-GB"/>
        </w:rPr>
        <w:t xml:space="preserve"> who </w:t>
      </w:r>
      <w:r w:rsidRPr="002573C8">
        <w:rPr>
          <w:lang w:eastAsia="en-GB"/>
        </w:rPr>
        <w:t xml:space="preserve">are not in possession of such a statement may submit a copy of the statement to the </w:t>
      </w:r>
      <w:r w:rsidR="004E7855" w:rsidRPr="002573C8">
        <w:rPr>
          <w:lang w:eastAsia="en-GB"/>
        </w:rPr>
        <w:t>Administration Board of the MFM</w:t>
      </w:r>
      <w:r w:rsidRPr="002573C8">
        <w:rPr>
          <w:lang w:eastAsia="en-GB"/>
        </w:rPr>
        <w:t xml:space="preserve"> as soon as it is available</w:t>
      </w:r>
      <w:r w:rsidR="006378FB" w:rsidRPr="002573C8">
        <w:rPr>
          <w:lang w:eastAsia="en-GB"/>
        </w:rPr>
        <w:t xml:space="preserve"> but not later than one month from </w:t>
      </w:r>
      <w:r w:rsidR="00562DC1" w:rsidRPr="002573C8">
        <w:rPr>
          <w:lang w:eastAsia="en-GB"/>
        </w:rPr>
        <w:t xml:space="preserve">the </w:t>
      </w:r>
      <w:r w:rsidR="006378FB" w:rsidRPr="002573C8">
        <w:rPr>
          <w:lang w:eastAsia="en-GB"/>
        </w:rPr>
        <w:t xml:space="preserve">date of </w:t>
      </w:r>
      <w:r w:rsidR="00562DC1" w:rsidRPr="002573C8">
        <w:rPr>
          <w:lang w:eastAsia="en-GB"/>
        </w:rPr>
        <w:t>their introductory meeting</w:t>
      </w:r>
      <w:r w:rsidR="004E7855" w:rsidRPr="002573C8">
        <w:rPr>
          <w:lang w:eastAsia="en-GB"/>
        </w:rPr>
        <w:t>.</w:t>
      </w:r>
    </w:p>
    <w:p w14:paraId="4AADA1D2" w14:textId="77777777" w:rsidR="00E00B01" w:rsidRPr="002573C8" w:rsidRDefault="00F37397" w:rsidP="00E00B01">
      <w:pPr>
        <w:ind w:left="567" w:hanging="283"/>
        <w:jc w:val="both"/>
        <w:rPr>
          <w:lang w:eastAsia="en-GB"/>
        </w:rPr>
      </w:pPr>
      <w:r w:rsidRPr="002573C8">
        <w:rPr>
          <w:lang w:eastAsia="en-GB"/>
        </w:rPr>
        <w:t xml:space="preserve">(c) </w:t>
      </w:r>
      <w:r w:rsidR="00E00B01" w:rsidRPr="002573C8">
        <w:rPr>
          <w:lang w:eastAsia="en-GB"/>
        </w:rPr>
        <w:t xml:space="preserve">Prospective Teachers are exempt from the above requirements in respect of qualifications obtained from accredited universities or other accredited institutions that are listed and may be downloaded from the MQRIC page of the NCFHE website (https://ncfhe.gov.mt/en). In cases of doubt, however, the MFM may set aside this exemption and direct a prospective </w:t>
      </w:r>
      <w:r w:rsidR="00E00B01" w:rsidRPr="002573C8">
        <w:rPr>
          <w:lang w:eastAsia="en-GB"/>
        </w:rPr>
        <w:lastRenderedPageBreak/>
        <w:t>teacher to procure a recognition statement from MQRIC. In such a case the teacher shall be given one month to procure the statement, subject to the possibility of extension as provided for in sub-paragraph (b) above.</w:t>
      </w:r>
    </w:p>
    <w:p w14:paraId="4AADA1D3" w14:textId="77777777" w:rsidR="00E00B01" w:rsidRPr="002573C8" w:rsidRDefault="00E00B01" w:rsidP="00E00B01">
      <w:pPr>
        <w:ind w:left="284" w:hanging="284"/>
        <w:jc w:val="both"/>
        <w:rPr>
          <w:lang w:eastAsia="en-GB"/>
        </w:rPr>
      </w:pPr>
      <w:r w:rsidRPr="002573C8">
        <w:rPr>
          <w:lang w:eastAsia="en-GB"/>
        </w:rPr>
        <w:t>6. Persons registered with the National Commission for Persons with a Disability (NCPD) may be given reasonable accommodation in terms of Section 7 of the Equal Opportunities (Persons with Disability) Act, (Cap 413), if they satisfy in full the eligibility requirements of the MFM.</w:t>
      </w:r>
    </w:p>
    <w:p w14:paraId="4AADA1D4" w14:textId="77777777" w:rsidR="00957DC8" w:rsidRPr="002573C8" w:rsidRDefault="00E00B01" w:rsidP="00E00B01">
      <w:pPr>
        <w:jc w:val="both"/>
      </w:pPr>
      <w:r w:rsidRPr="002573C8">
        <w:rPr>
          <w:lang w:eastAsia="en-GB"/>
        </w:rPr>
        <w:t>7</w:t>
      </w:r>
      <w:r w:rsidRPr="002573C8">
        <w:t>. Relationship between the parties:</w:t>
      </w:r>
    </w:p>
    <w:p w14:paraId="4AADA1D5" w14:textId="77777777" w:rsidR="00504CCC" w:rsidRPr="002573C8" w:rsidRDefault="00957DC8" w:rsidP="004F0442">
      <w:pPr>
        <w:jc w:val="both"/>
      </w:pPr>
      <w:r w:rsidRPr="002573C8">
        <w:t xml:space="preserve">The parties acknowledge that the Teacher is not an employee or an agent of MFM by virtue of this agreement but will be offering </w:t>
      </w:r>
      <w:r w:rsidR="00897CC6" w:rsidRPr="002573C8">
        <w:t>his/</w:t>
      </w:r>
      <w:r w:rsidRPr="002573C8">
        <w:t>her services to the public as an independent professional</w:t>
      </w:r>
      <w:r w:rsidR="00897CC6" w:rsidRPr="002573C8">
        <w:t>.</w:t>
      </w:r>
    </w:p>
    <w:p w14:paraId="4AADA1D6" w14:textId="77777777" w:rsidR="00E00B01" w:rsidRPr="002573C8" w:rsidRDefault="00E00B01" w:rsidP="00504CCC">
      <w:pPr>
        <w:jc w:val="both"/>
        <w:rPr>
          <w:rFonts w:cs="Helvetica"/>
          <w:i/>
          <w:lang w:eastAsia="en-GB"/>
        </w:rPr>
      </w:pPr>
      <w:r w:rsidRPr="002573C8">
        <w:rPr>
          <w:rFonts w:cs="Helvetica"/>
          <w:i/>
          <w:lang w:eastAsia="en-GB"/>
        </w:rPr>
        <w:t>Teachers who wish to teach the MFM’s program of studies should note the requirement to produce recognition statements in respect of their qualifications from the Malta Qualifications and Recognition Information Centre (MQRIC), or other designated authorities, as applicable, unless the awarding institution for the qualification being produced has already been recognised by the National Commission for Further and Higher Education (NCFHE) and published on their website. This list is accessible on the following link: </w:t>
      </w:r>
    </w:p>
    <w:p w14:paraId="4AADA1D7" w14:textId="77777777" w:rsidR="00C81ACC" w:rsidRPr="002573C8" w:rsidRDefault="00000000" w:rsidP="00504CCC">
      <w:pPr>
        <w:jc w:val="both"/>
        <w:rPr>
          <w:rFonts w:cs="Helvetica"/>
          <w:i/>
          <w:lang w:eastAsia="en-GB"/>
        </w:rPr>
      </w:pPr>
      <w:hyperlink r:id="rId11" w:history="1">
        <w:r w:rsidR="0094242A" w:rsidRPr="002573C8">
          <w:rPr>
            <w:rStyle w:val="Hyperlink"/>
            <w:rFonts w:cs="Helvetica"/>
            <w:i/>
            <w:color w:val="auto"/>
            <w:lang w:eastAsia="en-GB"/>
          </w:rPr>
          <w:t>https://ncfhe.gov.mt/en/services/Pages/All%20Services/mqric.aspx</w:t>
        </w:r>
      </w:hyperlink>
    </w:p>
    <w:p w14:paraId="4AADA1D8" w14:textId="77777777" w:rsidR="0094242A" w:rsidRPr="002573C8" w:rsidRDefault="0094242A" w:rsidP="00504CCC">
      <w:pPr>
        <w:jc w:val="both"/>
        <w:rPr>
          <w:rFonts w:cs="Helvetica"/>
          <w:i/>
          <w:lang w:eastAsia="en-GB"/>
        </w:rPr>
      </w:pPr>
    </w:p>
    <w:p w14:paraId="4AADA1D9" w14:textId="77777777" w:rsidR="0094242A" w:rsidRPr="002573C8" w:rsidRDefault="0094242A" w:rsidP="00504CCC">
      <w:pPr>
        <w:jc w:val="both"/>
        <w:rPr>
          <w:rFonts w:cs="Helvetica"/>
          <w:i/>
          <w:lang w:eastAsia="en-GB"/>
        </w:rPr>
      </w:pPr>
    </w:p>
    <w:p w14:paraId="4AADA1DA" w14:textId="77777777" w:rsidR="004360C5" w:rsidRPr="002573C8" w:rsidRDefault="004360C5" w:rsidP="004F0442">
      <w:pPr>
        <w:jc w:val="both"/>
        <w:rPr>
          <w:lang w:eastAsia="en-GB"/>
        </w:rPr>
      </w:pPr>
    </w:p>
    <w:p w14:paraId="4AADA1DB" w14:textId="77777777" w:rsidR="004360C5" w:rsidRPr="002573C8" w:rsidRDefault="004360C5" w:rsidP="004F0442">
      <w:pPr>
        <w:jc w:val="both"/>
        <w:rPr>
          <w:lang w:eastAsia="en-GB"/>
        </w:rPr>
      </w:pPr>
    </w:p>
    <w:p w14:paraId="4AADA1DC" w14:textId="77777777" w:rsidR="004360C5" w:rsidRPr="002573C8" w:rsidRDefault="004360C5" w:rsidP="004F0442">
      <w:pPr>
        <w:jc w:val="both"/>
        <w:rPr>
          <w:lang w:eastAsia="en-GB"/>
        </w:rPr>
      </w:pPr>
    </w:p>
    <w:p w14:paraId="4AADA1DD" w14:textId="77777777" w:rsidR="004360C5" w:rsidRPr="002573C8" w:rsidRDefault="004360C5" w:rsidP="004F0442">
      <w:pPr>
        <w:jc w:val="both"/>
        <w:rPr>
          <w:lang w:eastAsia="en-GB"/>
        </w:rPr>
      </w:pPr>
    </w:p>
    <w:p w14:paraId="4AADA1DE" w14:textId="77777777" w:rsidR="004360C5" w:rsidRPr="002573C8" w:rsidRDefault="004360C5" w:rsidP="004F2079">
      <w:pPr>
        <w:pStyle w:val="NoSpacing"/>
        <w:jc w:val="both"/>
        <w:rPr>
          <w:sz w:val="24"/>
          <w:szCs w:val="24"/>
          <w:lang w:eastAsia="en-GB"/>
        </w:rPr>
      </w:pPr>
    </w:p>
    <w:p w14:paraId="4AADA1DF" w14:textId="77777777" w:rsidR="004360C5" w:rsidRPr="002573C8" w:rsidRDefault="004360C5" w:rsidP="004F2079">
      <w:pPr>
        <w:pStyle w:val="NoSpacing"/>
        <w:jc w:val="both"/>
        <w:rPr>
          <w:sz w:val="24"/>
          <w:szCs w:val="24"/>
          <w:lang w:eastAsia="en-GB"/>
        </w:rPr>
      </w:pPr>
    </w:p>
    <w:p w14:paraId="4AADA1E0" w14:textId="77777777" w:rsidR="004360C5" w:rsidRPr="002573C8" w:rsidRDefault="004360C5" w:rsidP="004F2079">
      <w:pPr>
        <w:pStyle w:val="NoSpacing"/>
        <w:jc w:val="both"/>
        <w:rPr>
          <w:sz w:val="24"/>
          <w:szCs w:val="24"/>
          <w:lang w:eastAsia="en-GB"/>
        </w:rPr>
      </w:pPr>
    </w:p>
    <w:p w14:paraId="4AADA1E1" w14:textId="77777777" w:rsidR="004360C5" w:rsidRPr="002573C8" w:rsidRDefault="004360C5" w:rsidP="004F2079">
      <w:pPr>
        <w:pStyle w:val="NoSpacing"/>
        <w:jc w:val="both"/>
        <w:rPr>
          <w:sz w:val="24"/>
          <w:szCs w:val="24"/>
          <w:lang w:eastAsia="en-GB"/>
        </w:rPr>
      </w:pPr>
    </w:p>
    <w:p w14:paraId="4AADA1E2" w14:textId="77777777" w:rsidR="0094242A" w:rsidRPr="002573C8" w:rsidRDefault="0094242A" w:rsidP="004F2079">
      <w:pPr>
        <w:pStyle w:val="NoSpacing"/>
        <w:jc w:val="both"/>
        <w:rPr>
          <w:sz w:val="24"/>
          <w:szCs w:val="24"/>
          <w:lang w:eastAsia="en-GB"/>
        </w:rPr>
      </w:pPr>
    </w:p>
    <w:p w14:paraId="4AADA1E3" w14:textId="77777777" w:rsidR="0094242A" w:rsidRPr="002573C8" w:rsidRDefault="0094242A" w:rsidP="004F2079">
      <w:pPr>
        <w:pStyle w:val="NoSpacing"/>
        <w:jc w:val="both"/>
        <w:rPr>
          <w:sz w:val="24"/>
          <w:szCs w:val="24"/>
          <w:lang w:eastAsia="en-GB"/>
        </w:rPr>
      </w:pPr>
    </w:p>
    <w:p w14:paraId="4AADA1E4" w14:textId="77777777" w:rsidR="0094242A" w:rsidRPr="002573C8" w:rsidRDefault="0094242A" w:rsidP="004F2079">
      <w:pPr>
        <w:pStyle w:val="NoSpacing"/>
        <w:jc w:val="both"/>
        <w:rPr>
          <w:sz w:val="24"/>
          <w:szCs w:val="24"/>
          <w:lang w:eastAsia="en-GB"/>
        </w:rPr>
      </w:pPr>
    </w:p>
    <w:p w14:paraId="4AADA1E5" w14:textId="77777777" w:rsidR="00E328AC" w:rsidRPr="002573C8" w:rsidRDefault="00E328AC" w:rsidP="004F2079">
      <w:pPr>
        <w:pStyle w:val="NoSpacing"/>
        <w:jc w:val="both"/>
        <w:rPr>
          <w:sz w:val="24"/>
          <w:szCs w:val="24"/>
          <w:lang w:eastAsia="en-GB"/>
        </w:rPr>
      </w:pPr>
    </w:p>
    <w:p w14:paraId="4AADA1E6" w14:textId="77777777" w:rsidR="00E328AC" w:rsidRPr="002573C8" w:rsidRDefault="00E328AC" w:rsidP="004F2079">
      <w:pPr>
        <w:pStyle w:val="NoSpacing"/>
        <w:jc w:val="both"/>
        <w:rPr>
          <w:sz w:val="24"/>
          <w:szCs w:val="24"/>
          <w:lang w:eastAsia="en-GB"/>
        </w:rPr>
      </w:pPr>
    </w:p>
    <w:p w14:paraId="4AADA1E7" w14:textId="77777777" w:rsidR="00E328AC" w:rsidRPr="002573C8" w:rsidRDefault="00E328AC" w:rsidP="004F2079">
      <w:pPr>
        <w:pStyle w:val="NoSpacing"/>
        <w:jc w:val="both"/>
        <w:rPr>
          <w:sz w:val="24"/>
          <w:szCs w:val="24"/>
          <w:lang w:eastAsia="en-GB"/>
        </w:rPr>
      </w:pPr>
    </w:p>
    <w:p w14:paraId="4AADA1E8" w14:textId="77777777" w:rsidR="0094242A" w:rsidRPr="002573C8" w:rsidRDefault="0094242A" w:rsidP="004F2079">
      <w:pPr>
        <w:pStyle w:val="NoSpacing"/>
        <w:jc w:val="both"/>
        <w:rPr>
          <w:sz w:val="24"/>
          <w:szCs w:val="24"/>
          <w:lang w:eastAsia="en-GB"/>
        </w:rPr>
      </w:pPr>
    </w:p>
    <w:p w14:paraId="4AADA1E9" w14:textId="77777777" w:rsidR="00E328AC" w:rsidRPr="002573C8" w:rsidRDefault="00E328AC" w:rsidP="004F2079">
      <w:pPr>
        <w:pStyle w:val="NoSpacing"/>
        <w:jc w:val="both"/>
        <w:rPr>
          <w:sz w:val="24"/>
          <w:szCs w:val="24"/>
          <w:lang w:eastAsia="en-GB"/>
        </w:rPr>
      </w:pPr>
    </w:p>
    <w:p w14:paraId="4AADA1EA" w14:textId="77777777" w:rsidR="00E328AC" w:rsidRPr="002573C8" w:rsidRDefault="00E328AC" w:rsidP="004F2079">
      <w:pPr>
        <w:pStyle w:val="NoSpacing"/>
        <w:jc w:val="both"/>
        <w:rPr>
          <w:sz w:val="24"/>
          <w:szCs w:val="24"/>
          <w:lang w:eastAsia="en-GB"/>
        </w:rPr>
      </w:pPr>
    </w:p>
    <w:p w14:paraId="4AADA1EB" w14:textId="77777777" w:rsidR="00E328AC" w:rsidRPr="002573C8" w:rsidRDefault="00E328AC" w:rsidP="004F2079">
      <w:pPr>
        <w:pStyle w:val="NoSpacing"/>
        <w:jc w:val="both"/>
        <w:rPr>
          <w:sz w:val="24"/>
          <w:szCs w:val="24"/>
          <w:lang w:eastAsia="en-GB"/>
        </w:rPr>
      </w:pPr>
    </w:p>
    <w:p w14:paraId="4AADA1EC" w14:textId="77777777" w:rsidR="0094242A" w:rsidRPr="002573C8" w:rsidRDefault="0094242A" w:rsidP="004F2079">
      <w:pPr>
        <w:pStyle w:val="NoSpacing"/>
        <w:jc w:val="both"/>
        <w:rPr>
          <w:sz w:val="24"/>
          <w:szCs w:val="24"/>
          <w:lang w:eastAsia="en-GB"/>
        </w:rPr>
      </w:pPr>
    </w:p>
    <w:p w14:paraId="4AADA1ED" w14:textId="77777777" w:rsidR="004360C5" w:rsidRPr="002573C8" w:rsidRDefault="004360C5" w:rsidP="004F2079">
      <w:pPr>
        <w:pStyle w:val="NoSpacing"/>
        <w:jc w:val="both"/>
        <w:rPr>
          <w:sz w:val="24"/>
          <w:szCs w:val="24"/>
          <w:lang w:eastAsia="en-GB"/>
        </w:rPr>
      </w:pPr>
    </w:p>
    <w:p w14:paraId="4AADA1EE" w14:textId="77777777" w:rsidR="0052279F" w:rsidRPr="0052279F" w:rsidRDefault="00000000" w:rsidP="0052279F">
      <w:pPr>
        <w:pStyle w:val="NoSpacing"/>
        <w:rPr>
          <w:b/>
          <w:color w:val="BFBFBF" w:themeColor="background1" w:themeShade="BF"/>
          <w:sz w:val="96"/>
          <w:szCs w:val="96"/>
        </w:rPr>
      </w:pPr>
      <w:r>
        <w:rPr>
          <w:b/>
          <w:noProof/>
          <w:color w:val="BFBFBF" w:themeColor="background1" w:themeShade="BF"/>
          <w:sz w:val="96"/>
          <w:szCs w:val="96"/>
          <w:lang w:eastAsia="en-GB"/>
        </w:rPr>
        <w:lastRenderedPageBreak/>
        <w:pict w14:anchorId="4AADA291">
          <v:shape id="_x0000_s2064" type="#_x0000_t32" style="position:absolute;margin-left:.35pt;margin-top:55.65pt;width:211.1pt;height:0;z-index:251675648;mso-position-horizontal-relative:margin" o:connectortype="straight" strokecolor="#c00000" strokeweight="2.25pt">
            <w10:wrap anchorx="margin"/>
          </v:shape>
        </w:pict>
      </w:r>
      <w:r w:rsidR="0052279F" w:rsidRPr="0052279F">
        <w:rPr>
          <w:b/>
          <w:color w:val="BFBFBF" w:themeColor="background1" w:themeShade="BF"/>
          <w:sz w:val="96"/>
          <w:szCs w:val="96"/>
        </w:rPr>
        <w:t>2</w:t>
      </w:r>
    </w:p>
    <w:p w14:paraId="4AADA1EF" w14:textId="77777777" w:rsidR="00E328AC" w:rsidRPr="0052279F" w:rsidRDefault="00E328AC" w:rsidP="00E328AC">
      <w:pPr>
        <w:jc w:val="both"/>
        <w:rPr>
          <w:b/>
          <w:iCs/>
          <w:color w:val="BFBFBF" w:themeColor="background1" w:themeShade="BF"/>
          <w:sz w:val="40"/>
          <w:szCs w:val="40"/>
        </w:rPr>
      </w:pPr>
      <w:r w:rsidRPr="0052279F">
        <w:rPr>
          <w:b/>
          <w:iCs/>
          <w:color w:val="BFBFBF" w:themeColor="background1" w:themeShade="BF"/>
          <w:sz w:val="40"/>
          <w:szCs w:val="40"/>
        </w:rPr>
        <w:t>Agreement of Partnership</w:t>
      </w:r>
    </w:p>
    <w:p w14:paraId="4AADA1F0" w14:textId="77777777" w:rsidR="00E328AC" w:rsidRPr="002573C8" w:rsidRDefault="00E328AC" w:rsidP="00E328AC">
      <w:pPr>
        <w:jc w:val="both"/>
      </w:pPr>
      <w:r w:rsidRPr="002573C8">
        <w:t xml:space="preserve">Whilst respecting the autonomy and individuality of teachers who wish to deliver courses offered by the Medina College of Music, The Medina Foundation for Music, as part of its Internal Quality Assurance protocol and </w:t>
      </w:r>
      <w:proofErr w:type="gramStart"/>
      <w:r w:rsidRPr="002573C8">
        <w:t>in an effort to</w:t>
      </w:r>
      <w:proofErr w:type="gramEnd"/>
      <w:r w:rsidRPr="002573C8">
        <w:t xml:space="preserve"> maintain the standards expected of the institution, enters into an agreement of partnership whereby the teacher undertakes to prepare students according to programmes leading to accredited certification awarded by the Medina Col</w:t>
      </w:r>
      <w:r w:rsidR="00220BF6" w:rsidRPr="002573C8">
        <w:t xml:space="preserve">lege of Music.  In return, the </w:t>
      </w:r>
      <w:r w:rsidRPr="002573C8">
        <w:t xml:space="preserve">Foundation undertakes to support the teacher by providing personal development opportunities and networking possibilities.  </w:t>
      </w:r>
      <w:proofErr w:type="gramStart"/>
      <w:r w:rsidRPr="002573C8">
        <w:t>Furthermore</w:t>
      </w:r>
      <w:proofErr w:type="gramEnd"/>
      <w:r w:rsidRPr="002573C8">
        <w:t xml:space="preserve"> the Foundation will list relevant details of teachers offering its courses on its website for the perusal of those wishing to pursue a musical education through the Medina College of Music. The Foundation, however, reserves the right to remove from the list the details of teachers who, after due consideration, </w:t>
      </w:r>
      <w:proofErr w:type="gramStart"/>
      <w:r w:rsidRPr="002573C8">
        <w:t>are considered to be</w:t>
      </w:r>
      <w:proofErr w:type="gramEnd"/>
      <w:r w:rsidRPr="002573C8">
        <w:t xml:space="preserve"> falling short of the standards required by the Foundation.</w:t>
      </w:r>
    </w:p>
    <w:p w14:paraId="4AADA1F1" w14:textId="77777777" w:rsidR="00E328AC" w:rsidRPr="002573C8" w:rsidRDefault="00E328AC" w:rsidP="00E328AC">
      <w:r w:rsidRPr="002573C8">
        <w:t>In respects of the above, the duties and responsibilities of a teacher offering tuition in programmes offered by the Medina Foundation for Music shall include the following:</w:t>
      </w:r>
    </w:p>
    <w:p w14:paraId="4AADA1F2" w14:textId="77777777" w:rsidR="00E328AC" w:rsidRPr="002573C8" w:rsidRDefault="00E328AC" w:rsidP="00E328AC">
      <w:pPr>
        <w:rPr>
          <w:b/>
        </w:rPr>
      </w:pPr>
      <w:r w:rsidRPr="002573C8">
        <w:rPr>
          <w:b/>
        </w:rPr>
        <w:t>Overall Functions</w:t>
      </w:r>
    </w:p>
    <w:p w14:paraId="4AADA1F3" w14:textId="77777777" w:rsidR="00E328AC" w:rsidRPr="002573C8" w:rsidRDefault="00E328AC" w:rsidP="00E328AC">
      <w:pPr>
        <w:pStyle w:val="ListParagraph"/>
        <w:numPr>
          <w:ilvl w:val="0"/>
          <w:numId w:val="14"/>
        </w:numPr>
      </w:pPr>
      <w:r w:rsidRPr="002573C8">
        <w:t xml:space="preserve">To teach and educate students according to guidelines provided by the Medina Foundation for Music under the overall guidance of the National Council for Further </w:t>
      </w:r>
      <w:proofErr w:type="gramStart"/>
      <w:r w:rsidRPr="002573C8">
        <w:t>Education;</w:t>
      </w:r>
      <w:proofErr w:type="gramEnd"/>
    </w:p>
    <w:p w14:paraId="4AADA1F4" w14:textId="77777777" w:rsidR="00E328AC" w:rsidRPr="002573C8" w:rsidRDefault="00E328AC" w:rsidP="00E328AC">
      <w:pPr>
        <w:pStyle w:val="ListParagraph"/>
        <w:numPr>
          <w:ilvl w:val="0"/>
          <w:numId w:val="14"/>
        </w:numPr>
      </w:pPr>
      <w:r w:rsidRPr="002573C8">
        <w:t xml:space="preserve">To teach and educate students according to the educational needs, abilities and attainment potential of individual students entrusted to his/her care </w:t>
      </w:r>
    </w:p>
    <w:p w14:paraId="4AADA1F5" w14:textId="77777777" w:rsidR="00E328AC" w:rsidRPr="002573C8" w:rsidRDefault="00E328AC" w:rsidP="00E328AC">
      <w:pPr>
        <w:rPr>
          <w:b/>
        </w:rPr>
      </w:pPr>
      <w:r w:rsidRPr="002573C8">
        <w:rPr>
          <w:b/>
        </w:rPr>
        <w:t>Main Responsibilities</w:t>
      </w:r>
    </w:p>
    <w:p w14:paraId="4AADA1F6" w14:textId="77777777" w:rsidR="00E328AC" w:rsidRPr="002573C8" w:rsidRDefault="00E328AC" w:rsidP="00E328AC">
      <w:pPr>
        <w:pStyle w:val="ListParagraph"/>
        <w:numPr>
          <w:ilvl w:val="1"/>
          <w:numId w:val="15"/>
        </w:numPr>
        <w:ind w:left="709" w:hanging="283"/>
        <w:jc w:val="both"/>
      </w:pPr>
      <w:r w:rsidRPr="002573C8">
        <w:t xml:space="preserve">Planning, preparing and delivering lessons to all students in the </w:t>
      </w:r>
      <w:proofErr w:type="gramStart"/>
      <w:r w:rsidRPr="002573C8">
        <w:t>class;</w:t>
      </w:r>
      <w:proofErr w:type="gramEnd"/>
    </w:p>
    <w:p w14:paraId="4AADA1F7" w14:textId="77777777" w:rsidR="00E328AC" w:rsidRPr="002573C8" w:rsidRDefault="00E328AC" w:rsidP="00E328AC">
      <w:pPr>
        <w:pStyle w:val="ListParagraph"/>
        <w:numPr>
          <w:ilvl w:val="1"/>
          <w:numId w:val="15"/>
        </w:numPr>
        <w:ind w:left="709" w:hanging="283"/>
        <w:jc w:val="both"/>
      </w:pPr>
      <w:r w:rsidRPr="002573C8">
        <w:t xml:space="preserve">Teaching according to the educational needs, abilities and achievement of the individual students and groups of </w:t>
      </w:r>
      <w:proofErr w:type="gramStart"/>
      <w:r w:rsidRPr="002573C8">
        <w:t>students;</w:t>
      </w:r>
      <w:proofErr w:type="gramEnd"/>
    </w:p>
    <w:p w14:paraId="4AADA1F8" w14:textId="77777777" w:rsidR="00E328AC" w:rsidRPr="002573C8" w:rsidRDefault="00E328AC" w:rsidP="00E328AC">
      <w:pPr>
        <w:pStyle w:val="ListParagraph"/>
        <w:numPr>
          <w:ilvl w:val="1"/>
          <w:numId w:val="15"/>
        </w:numPr>
        <w:ind w:left="709" w:hanging="283"/>
        <w:jc w:val="both"/>
      </w:pPr>
      <w:r w:rsidRPr="002573C8">
        <w:t xml:space="preserve">Assigning work, correcting and marking work carried out by his/her </w:t>
      </w:r>
      <w:proofErr w:type="gramStart"/>
      <w:r w:rsidRPr="002573C8">
        <w:t>students;</w:t>
      </w:r>
      <w:proofErr w:type="gramEnd"/>
    </w:p>
    <w:p w14:paraId="4AADA1F9" w14:textId="77777777" w:rsidR="00E328AC" w:rsidRPr="002573C8" w:rsidRDefault="00E328AC" w:rsidP="00E328AC">
      <w:pPr>
        <w:pStyle w:val="ListParagraph"/>
        <w:numPr>
          <w:ilvl w:val="1"/>
          <w:numId w:val="15"/>
        </w:numPr>
        <w:ind w:left="709" w:hanging="283"/>
        <w:jc w:val="both"/>
      </w:pPr>
      <w:r w:rsidRPr="002573C8">
        <w:t xml:space="preserve">Assessing and recording the development, progress and attainment of one’s </w:t>
      </w:r>
      <w:proofErr w:type="gramStart"/>
      <w:r w:rsidRPr="002573C8">
        <w:t>students;</w:t>
      </w:r>
      <w:proofErr w:type="gramEnd"/>
    </w:p>
    <w:p w14:paraId="4AADA1FA" w14:textId="77777777" w:rsidR="00E328AC" w:rsidRPr="002573C8" w:rsidRDefault="00E328AC" w:rsidP="00E328AC">
      <w:pPr>
        <w:pStyle w:val="ListParagraph"/>
        <w:numPr>
          <w:ilvl w:val="1"/>
          <w:numId w:val="15"/>
        </w:numPr>
        <w:ind w:left="709" w:hanging="283"/>
        <w:jc w:val="both"/>
      </w:pPr>
      <w:r w:rsidRPr="002573C8">
        <w:t xml:space="preserve">Providing or contributing to oral and written assessments, reports and references relating to individual students or groups of </w:t>
      </w:r>
      <w:proofErr w:type="gramStart"/>
      <w:r w:rsidRPr="002573C8">
        <w:t>students;</w:t>
      </w:r>
      <w:proofErr w:type="gramEnd"/>
    </w:p>
    <w:p w14:paraId="4AADA1FB" w14:textId="77777777" w:rsidR="00E328AC" w:rsidRPr="002573C8" w:rsidRDefault="00E328AC" w:rsidP="00E328AC">
      <w:pPr>
        <w:pStyle w:val="ListParagraph"/>
        <w:numPr>
          <w:ilvl w:val="1"/>
          <w:numId w:val="15"/>
        </w:numPr>
        <w:ind w:left="709" w:hanging="283"/>
        <w:jc w:val="both"/>
      </w:pPr>
      <w:r w:rsidRPr="002573C8">
        <w:t xml:space="preserve">Making such records in IV above, as stipulated in the Foundation’s Teaching and Learning Policy (Ref. Article 8- Effective Teaching and Learning, and Appendix B – Lesson Observation Feedback), readily available for </w:t>
      </w:r>
      <w:proofErr w:type="gramStart"/>
      <w:r w:rsidRPr="002573C8">
        <w:t>review;</w:t>
      </w:r>
      <w:proofErr w:type="gramEnd"/>
    </w:p>
    <w:p w14:paraId="4AADA1FC" w14:textId="77777777" w:rsidR="00E328AC" w:rsidRPr="002573C8" w:rsidRDefault="00E328AC" w:rsidP="00E328AC">
      <w:pPr>
        <w:pStyle w:val="ListParagraph"/>
        <w:numPr>
          <w:ilvl w:val="1"/>
          <w:numId w:val="15"/>
        </w:numPr>
        <w:ind w:left="709" w:hanging="283"/>
        <w:jc w:val="both"/>
      </w:pPr>
      <w:r w:rsidRPr="002573C8">
        <w:t xml:space="preserve">Promoting the general progress and well-being of individual students or groups of </w:t>
      </w:r>
      <w:proofErr w:type="gramStart"/>
      <w:r w:rsidRPr="002573C8">
        <w:t>students;</w:t>
      </w:r>
      <w:proofErr w:type="gramEnd"/>
    </w:p>
    <w:p w14:paraId="4AADA1FD" w14:textId="77777777" w:rsidR="00E328AC" w:rsidRPr="002573C8" w:rsidRDefault="00E328AC" w:rsidP="00E328AC">
      <w:pPr>
        <w:pStyle w:val="ListParagraph"/>
        <w:numPr>
          <w:ilvl w:val="1"/>
          <w:numId w:val="15"/>
        </w:numPr>
        <w:ind w:left="709" w:hanging="283"/>
        <w:jc w:val="both"/>
      </w:pPr>
      <w:r w:rsidRPr="002573C8">
        <w:t xml:space="preserve">Providing guidance and advice to students on educational and social matters and on their further musical education and possible musical careers; providing information on sources of more expert </w:t>
      </w:r>
      <w:proofErr w:type="gramStart"/>
      <w:r w:rsidRPr="002573C8">
        <w:t>advice;</w:t>
      </w:r>
      <w:proofErr w:type="gramEnd"/>
      <w:r w:rsidRPr="002573C8">
        <w:t xml:space="preserve"> </w:t>
      </w:r>
    </w:p>
    <w:p w14:paraId="4AADA1FE" w14:textId="77777777" w:rsidR="00E328AC" w:rsidRPr="002573C8" w:rsidRDefault="00E328AC" w:rsidP="00E328AC">
      <w:pPr>
        <w:pStyle w:val="ListParagraph"/>
        <w:numPr>
          <w:ilvl w:val="1"/>
          <w:numId w:val="15"/>
        </w:numPr>
        <w:ind w:left="709" w:hanging="283"/>
        <w:jc w:val="both"/>
      </w:pPr>
      <w:r w:rsidRPr="002573C8">
        <w:lastRenderedPageBreak/>
        <w:t xml:space="preserve">Communicating, consulting and co-operating with other members of the College, including those having posts of special responsibility and parents/guardians to ensure the best interest of </w:t>
      </w:r>
      <w:proofErr w:type="gramStart"/>
      <w:r w:rsidRPr="002573C8">
        <w:t>students;</w:t>
      </w:r>
      <w:proofErr w:type="gramEnd"/>
    </w:p>
    <w:p w14:paraId="4AADA1FF" w14:textId="77777777" w:rsidR="00E328AC" w:rsidRPr="002573C8" w:rsidRDefault="00E328AC" w:rsidP="00E328AC">
      <w:pPr>
        <w:pStyle w:val="ListParagraph"/>
        <w:numPr>
          <w:ilvl w:val="1"/>
          <w:numId w:val="15"/>
        </w:numPr>
        <w:ind w:left="709" w:hanging="283"/>
        <w:jc w:val="both"/>
      </w:pPr>
      <w:r w:rsidRPr="002573C8">
        <w:t>Reviewing and evaluating one’s own teaching and learning strategies, methodologies and programme/</w:t>
      </w:r>
      <w:proofErr w:type="gramStart"/>
      <w:r w:rsidRPr="002573C8">
        <w:t>s;</w:t>
      </w:r>
      <w:proofErr w:type="gramEnd"/>
    </w:p>
    <w:p w14:paraId="4AADA200" w14:textId="77777777" w:rsidR="00E328AC" w:rsidRPr="002573C8" w:rsidRDefault="00E328AC" w:rsidP="00E328AC">
      <w:pPr>
        <w:pStyle w:val="ListParagraph"/>
        <w:numPr>
          <w:ilvl w:val="1"/>
          <w:numId w:val="15"/>
        </w:numPr>
        <w:ind w:left="709" w:hanging="283"/>
        <w:jc w:val="both"/>
      </w:pPr>
      <w:r w:rsidRPr="002573C8">
        <w:t xml:space="preserve">Undertaking of mentoring in accordance </w:t>
      </w:r>
      <w:proofErr w:type="gramStart"/>
      <w:r w:rsidRPr="002573C8">
        <w:t>to</w:t>
      </w:r>
      <w:proofErr w:type="gramEnd"/>
      <w:r w:rsidRPr="002573C8">
        <w:t xml:space="preserve"> the Foundation’s Teaching and Learning Policy (Art.10 – Quality Assurance).</w:t>
      </w:r>
    </w:p>
    <w:p w14:paraId="4AADA201" w14:textId="77777777" w:rsidR="00E328AC" w:rsidRPr="002573C8" w:rsidRDefault="00E328AC" w:rsidP="00E328AC">
      <w:pPr>
        <w:pStyle w:val="ListParagraph"/>
        <w:numPr>
          <w:ilvl w:val="1"/>
          <w:numId w:val="15"/>
        </w:numPr>
        <w:ind w:left="709" w:hanging="283"/>
        <w:jc w:val="both"/>
      </w:pPr>
      <w:r w:rsidRPr="002573C8">
        <w:t xml:space="preserve">Advising and co-operating with the Principal, Vice Principal, Heads of Department, and other teachers in the preparation and development of courses of study, teaching materials, teaching programmes, methods of teaching and assessment and examination </w:t>
      </w:r>
      <w:proofErr w:type="gramStart"/>
      <w:r w:rsidRPr="002573C8">
        <w:t>arrangements;</w:t>
      </w:r>
      <w:proofErr w:type="gramEnd"/>
    </w:p>
    <w:p w14:paraId="4AADA202" w14:textId="77777777" w:rsidR="00E328AC" w:rsidRPr="002573C8" w:rsidRDefault="00E328AC" w:rsidP="00E328AC">
      <w:pPr>
        <w:pStyle w:val="ListParagraph"/>
        <w:numPr>
          <w:ilvl w:val="1"/>
          <w:numId w:val="15"/>
        </w:numPr>
        <w:ind w:left="709" w:hanging="283"/>
        <w:jc w:val="both"/>
      </w:pPr>
      <w:r w:rsidRPr="002573C8">
        <w:t xml:space="preserve">Ensuring high standards of professional practice and quality of teaching and learning of the subject/s. Through effective dialogue and observation of class teaching practice by the Head of Department (subject/level) </w:t>
      </w:r>
      <w:proofErr w:type="gramStart"/>
      <w:r w:rsidRPr="002573C8">
        <w:t>concerned;</w:t>
      </w:r>
      <w:proofErr w:type="gramEnd"/>
    </w:p>
    <w:p w14:paraId="4AADA203" w14:textId="77777777" w:rsidR="00E328AC" w:rsidRPr="002573C8" w:rsidRDefault="00E328AC" w:rsidP="00E328AC">
      <w:pPr>
        <w:pStyle w:val="ListParagraph"/>
        <w:numPr>
          <w:ilvl w:val="1"/>
          <w:numId w:val="15"/>
        </w:numPr>
        <w:ind w:left="709" w:hanging="283"/>
        <w:jc w:val="both"/>
      </w:pPr>
      <w:r w:rsidRPr="002573C8">
        <w:t xml:space="preserve">Participating in training courses as well as in professional development opportunities, and taking part in action research </w:t>
      </w:r>
      <w:proofErr w:type="gramStart"/>
      <w:r w:rsidRPr="002573C8">
        <w:t>exercises;</w:t>
      </w:r>
      <w:proofErr w:type="gramEnd"/>
    </w:p>
    <w:p w14:paraId="4AADA204" w14:textId="77777777" w:rsidR="00E328AC" w:rsidRPr="002573C8" w:rsidRDefault="00E328AC" w:rsidP="00E328AC">
      <w:pPr>
        <w:pStyle w:val="ListParagraph"/>
        <w:numPr>
          <w:ilvl w:val="1"/>
          <w:numId w:val="15"/>
        </w:numPr>
        <w:ind w:left="709" w:hanging="283"/>
        <w:jc w:val="both"/>
      </w:pPr>
      <w:r w:rsidRPr="002573C8">
        <w:t xml:space="preserve">Maintaining good order and discipline amongst students under one’s care and safeguarding their health and safety at all </w:t>
      </w:r>
      <w:proofErr w:type="gramStart"/>
      <w:r w:rsidRPr="002573C8">
        <w:t>times;</w:t>
      </w:r>
      <w:proofErr w:type="gramEnd"/>
    </w:p>
    <w:p w14:paraId="4AADA205" w14:textId="77777777" w:rsidR="00E328AC" w:rsidRPr="002573C8" w:rsidRDefault="00E328AC" w:rsidP="00E328AC">
      <w:pPr>
        <w:pStyle w:val="ListParagraph"/>
        <w:numPr>
          <w:ilvl w:val="1"/>
          <w:numId w:val="15"/>
        </w:numPr>
        <w:ind w:left="709" w:hanging="283"/>
        <w:jc w:val="both"/>
      </w:pPr>
      <w:r w:rsidRPr="002573C8">
        <w:t xml:space="preserve">Participating in meetings related to the College curriculum for the better organization and administration of the </w:t>
      </w:r>
      <w:proofErr w:type="gramStart"/>
      <w:r w:rsidRPr="002573C8">
        <w:t>College;</w:t>
      </w:r>
      <w:proofErr w:type="gramEnd"/>
    </w:p>
    <w:p w14:paraId="4AADA206" w14:textId="77777777" w:rsidR="00E328AC" w:rsidRPr="002573C8" w:rsidRDefault="00E328AC" w:rsidP="00E328AC">
      <w:pPr>
        <w:pStyle w:val="ListParagraph"/>
        <w:numPr>
          <w:ilvl w:val="1"/>
          <w:numId w:val="15"/>
        </w:numPr>
        <w:ind w:left="709" w:hanging="283"/>
        <w:jc w:val="both"/>
      </w:pPr>
      <w:r w:rsidRPr="002573C8">
        <w:t xml:space="preserve">Providing the necessary information to the designated personnel in the </w:t>
      </w:r>
      <w:proofErr w:type="gramStart"/>
      <w:r w:rsidRPr="002573C8">
        <w:t>College;</w:t>
      </w:r>
      <w:proofErr w:type="gramEnd"/>
    </w:p>
    <w:p w14:paraId="4AADA207" w14:textId="77777777" w:rsidR="00E328AC" w:rsidRPr="002573C8" w:rsidRDefault="00E328AC" w:rsidP="00E328AC">
      <w:pPr>
        <w:pStyle w:val="ListParagraph"/>
        <w:numPr>
          <w:ilvl w:val="1"/>
          <w:numId w:val="15"/>
        </w:numPr>
        <w:ind w:left="709" w:hanging="283"/>
        <w:jc w:val="both"/>
      </w:pPr>
      <w:r w:rsidRPr="002573C8">
        <w:t xml:space="preserve">Abiding by the selection criteria and curriculum stipulated by the Medina College of Music when accepting students for programmes at respective </w:t>
      </w:r>
      <w:proofErr w:type="gramStart"/>
      <w:r w:rsidRPr="002573C8">
        <w:t>levels;</w:t>
      </w:r>
      <w:proofErr w:type="gramEnd"/>
    </w:p>
    <w:p w14:paraId="4AADA208" w14:textId="77777777" w:rsidR="00E328AC" w:rsidRPr="002573C8" w:rsidRDefault="00E328AC" w:rsidP="00E328AC">
      <w:pPr>
        <w:pStyle w:val="ListParagraph"/>
        <w:numPr>
          <w:ilvl w:val="1"/>
          <w:numId w:val="15"/>
        </w:numPr>
        <w:ind w:left="709" w:hanging="283"/>
        <w:jc w:val="both"/>
      </w:pPr>
      <w:r w:rsidRPr="002573C8">
        <w:t>Registering and monitoring the attendance of students under one’s care, and</w:t>
      </w:r>
    </w:p>
    <w:p w14:paraId="4AADA209" w14:textId="77777777" w:rsidR="00E328AC" w:rsidRPr="002573C8" w:rsidRDefault="00E328AC" w:rsidP="00E328AC">
      <w:pPr>
        <w:pStyle w:val="ListParagraph"/>
        <w:numPr>
          <w:ilvl w:val="1"/>
          <w:numId w:val="15"/>
        </w:numPr>
        <w:ind w:left="709" w:hanging="283"/>
        <w:jc w:val="both"/>
      </w:pPr>
      <w:r w:rsidRPr="002573C8">
        <w:t>Nurturing a culture where teachers view themselves essentially as facilitators of learning and reflective practitioners.</w:t>
      </w:r>
    </w:p>
    <w:p w14:paraId="4AADA20A" w14:textId="77777777" w:rsidR="00E328AC" w:rsidRPr="002573C8" w:rsidRDefault="00E328AC" w:rsidP="00E328AC"/>
    <w:p w14:paraId="4AADA20B" w14:textId="77777777" w:rsidR="00E328AC" w:rsidRPr="002573C8" w:rsidRDefault="00E328AC" w:rsidP="00E328AC">
      <w:pPr>
        <w:rPr>
          <w:b/>
        </w:rPr>
      </w:pPr>
      <w:r w:rsidRPr="002573C8">
        <w:rPr>
          <w:b/>
        </w:rPr>
        <w:t>Agreement:</w:t>
      </w:r>
    </w:p>
    <w:p w14:paraId="4AADA20C" w14:textId="77777777" w:rsidR="00E328AC" w:rsidRDefault="00E328AC" w:rsidP="00900DD8">
      <w:pPr>
        <w:jc w:val="both"/>
      </w:pPr>
      <w:r w:rsidRPr="002573C8">
        <w:t xml:space="preserve">I, _______________________________________ (ID Card No. ________________) have read the terms and conditions offered by the Medina Foundation for Music and hereby undertake the responsibilities required of a Teacher of the Medina College of Music whilst abiding by the policies of the Medina Foundation of Music and seeking by all means to uphold its standards to the best of my ability. </w:t>
      </w:r>
    </w:p>
    <w:p w14:paraId="4AADA20D" w14:textId="77777777" w:rsidR="00900DD8" w:rsidRPr="002573C8" w:rsidRDefault="00900DD8" w:rsidP="00900DD8">
      <w:pPr>
        <w:jc w:val="both"/>
      </w:pPr>
    </w:p>
    <w:p w14:paraId="4AADA20E" w14:textId="77777777" w:rsidR="00E328AC" w:rsidRPr="002573C8" w:rsidRDefault="00E328AC" w:rsidP="00E328AC">
      <w:pPr>
        <w:pStyle w:val="NoSpacing"/>
      </w:pPr>
      <w:r w:rsidRPr="002573C8">
        <w:t xml:space="preserve">                                                                                               </w:t>
      </w:r>
      <w:r w:rsidRPr="002573C8">
        <w:rPr>
          <w:i/>
          <w:sz w:val="20"/>
          <w:szCs w:val="20"/>
        </w:rPr>
        <w:t>Signature</w:t>
      </w:r>
      <w:r w:rsidRPr="002573C8">
        <w:t>:     _____________________________</w:t>
      </w:r>
    </w:p>
    <w:p w14:paraId="4AADA20F" w14:textId="77777777" w:rsidR="00E328AC" w:rsidRPr="002573C8" w:rsidRDefault="00E328AC" w:rsidP="00E328AC">
      <w:pPr>
        <w:pStyle w:val="NoSpacing"/>
        <w:rPr>
          <w:i/>
          <w:sz w:val="20"/>
          <w:szCs w:val="20"/>
        </w:rPr>
      </w:pPr>
      <w:r w:rsidRPr="002573C8">
        <w:rPr>
          <w:i/>
          <w:sz w:val="20"/>
          <w:szCs w:val="20"/>
        </w:rPr>
        <w:t xml:space="preserve">                                                                                                                                                                                                </w:t>
      </w:r>
    </w:p>
    <w:p w14:paraId="4AADA210" w14:textId="77777777" w:rsidR="00E328AC" w:rsidRPr="002573C8" w:rsidRDefault="00E328AC" w:rsidP="00E328AC"/>
    <w:p w14:paraId="4AADA211" w14:textId="77777777" w:rsidR="00E328AC" w:rsidRPr="002573C8" w:rsidRDefault="00E328AC" w:rsidP="00E328AC">
      <w:pPr>
        <w:pStyle w:val="NoSpacing"/>
      </w:pPr>
      <w:r w:rsidRPr="002573C8">
        <w:t xml:space="preserve">                                                                                                                     _____________________________</w:t>
      </w:r>
    </w:p>
    <w:p w14:paraId="4AADA212" w14:textId="77777777" w:rsidR="00E328AC" w:rsidRPr="002573C8" w:rsidRDefault="00E328AC" w:rsidP="00E328AC">
      <w:pPr>
        <w:pStyle w:val="NoSpacing"/>
        <w:ind w:left="6480"/>
        <w:rPr>
          <w:i/>
          <w:sz w:val="20"/>
          <w:szCs w:val="20"/>
        </w:rPr>
      </w:pPr>
      <w:r w:rsidRPr="002573C8">
        <w:rPr>
          <w:i/>
          <w:sz w:val="20"/>
          <w:szCs w:val="20"/>
        </w:rPr>
        <w:t xml:space="preserve">         Chairman </w:t>
      </w:r>
    </w:p>
    <w:p w14:paraId="4AADA213" w14:textId="77777777" w:rsidR="00E328AC" w:rsidRPr="002573C8" w:rsidRDefault="00E328AC" w:rsidP="00E328AC">
      <w:pPr>
        <w:pStyle w:val="NoSpacing"/>
        <w:rPr>
          <w:i/>
          <w:sz w:val="20"/>
          <w:szCs w:val="20"/>
        </w:rPr>
      </w:pPr>
      <w:r w:rsidRPr="002573C8">
        <w:rPr>
          <w:i/>
          <w:sz w:val="20"/>
          <w:szCs w:val="20"/>
        </w:rPr>
        <w:t xml:space="preserve">                                                                                                                                         Medina Foundation for Music</w:t>
      </w:r>
    </w:p>
    <w:p w14:paraId="4AADA214" w14:textId="77777777" w:rsidR="00E328AC" w:rsidRDefault="00E328AC" w:rsidP="00E328AC">
      <w:pPr>
        <w:pStyle w:val="NoSpacing"/>
        <w:rPr>
          <w:i/>
          <w:sz w:val="20"/>
          <w:szCs w:val="20"/>
        </w:rPr>
      </w:pPr>
    </w:p>
    <w:p w14:paraId="4AADA215" w14:textId="77777777" w:rsidR="00900DD8" w:rsidRPr="002573C8" w:rsidRDefault="00900DD8" w:rsidP="00E328AC">
      <w:pPr>
        <w:pStyle w:val="NoSpacing"/>
        <w:rPr>
          <w:i/>
          <w:sz w:val="20"/>
          <w:szCs w:val="20"/>
        </w:rPr>
      </w:pPr>
    </w:p>
    <w:p w14:paraId="4AADA216" w14:textId="77777777" w:rsidR="00E328AC" w:rsidRPr="002573C8" w:rsidRDefault="00E328AC" w:rsidP="00E328AC">
      <w:pPr>
        <w:pStyle w:val="NoSpacing"/>
        <w:rPr>
          <w:i/>
          <w:sz w:val="20"/>
          <w:szCs w:val="20"/>
        </w:rPr>
      </w:pPr>
      <w:r w:rsidRPr="002573C8">
        <w:rPr>
          <w:i/>
          <w:sz w:val="20"/>
          <w:szCs w:val="20"/>
        </w:rPr>
        <w:t xml:space="preserve">                                                                                                                                   _______________________________</w:t>
      </w:r>
    </w:p>
    <w:p w14:paraId="4AADA217" w14:textId="77777777" w:rsidR="00E328AC" w:rsidRPr="002573C8" w:rsidRDefault="00E328AC" w:rsidP="00E328AC">
      <w:pPr>
        <w:pStyle w:val="NoSpacing"/>
      </w:pPr>
      <w:r w:rsidRPr="002573C8">
        <w:rPr>
          <w:i/>
          <w:sz w:val="20"/>
          <w:szCs w:val="20"/>
        </w:rPr>
        <w:t xml:space="preserve">                                                                                                                                                                Date</w:t>
      </w:r>
    </w:p>
    <w:p w14:paraId="4AADA218" w14:textId="77777777" w:rsidR="00264796" w:rsidRPr="0052279F" w:rsidRDefault="00264796" w:rsidP="00264796">
      <w:pPr>
        <w:jc w:val="both"/>
        <w:rPr>
          <w:b/>
          <w:iCs/>
          <w:color w:val="BFBFBF" w:themeColor="background1" w:themeShade="BF"/>
          <w:sz w:val="40"/>
          <w:szCs w:val="40"/>
        </w:rPr>
      </w:pPr>
      <w:r w:rsidRPr="0052279F">
        <w:rPr>
          <w:b/>
          <w:iCs/>
          <w:color w:val="BFBFBF" w:themeColor="background1" w:themeShade="BF"/>
          <w:sz w:val="40"/>
          <w:szCs w:val="40"/>
        </w:rPr>
        <w:lastRenderedPageBreak/>
        <w:t>Appendix</w:t>
      </w:r>
    </w:p>
    <w:p w14:paraId="4AADA219" w14:textId="77777777" w:rsidR="004360C5" w:rsidRPr="002573C8" w:rsidRDefault="004360C5" w:rsidP="004360C5">
      <w:pPr>
        <w:pStyle w:val="NoSpacing"/>
        <w:jc w:val="both"/>
        <w:rPr>
          <w:sz w:val="24"/>
          <w:szCs w:val="24"/>
          <w:lang w:eastAsia="en-GB"/>
        </w:rPr>
      </w:pPr>
    </w:p>
    <w:p w14:paraId="4AADA21A" w14:textId="77777777" w:rsidR="004360C5" w:rsidRPr="002573C8" w:rsidRDefault="004360C5" w:rsidP="004360C5">
      <w:pPr>
        <w:pStyle w:val="NoSpacing"/>
        <w:jc w:val="both"/>
        <w:rPr>
          <w:b/>
          <w:sz w:val="24"/>
          <w:szCs w:val="24"/>
          <w:lang w:eastAsia="en-GB"/>
        </w:rPr>
      </w:pPr>
      <w:r w:rsidRPr="002573C8">
        <w:rPr>
          <w:b/>
          <w:sz w:val="24"/>
          <w:szCs w:val="24"/>
          <w:lang w:eastAsia="en-GB"/>
        </w:rPr>
        <w:t xml:space="preserve">COMMUNICATION TO LICENSED FURTHER AND HIGHER EDUCATION INSTITUTIONS   </w:t>
      </w:r>
    </w:p>
    <w:p w14:paraId="4AADA21B" w14:textId="77777777" w:rsidR="004360C5" w:rsidRPr="002573C8" w:rsidRDefault="004360C5" w:rsidP="004360C5">
      <w:pPr>
        <w:pStyle w:val="NoSpacing"/>
        <w:jc w:val="both"/>
        <w:rPr>
          <w:sz w:val="24"/>
          <w:szCs w:val="24"/>
          <w:lang w:eastAsia="en-GB"/>
        </w:rPr>
      </w:pPr>
      <w:r w:rsidRPr="002573C8">
        <w:rPr>
          <w:sz w:val="24"/>
          <w:szCs w:val="24"/>
          <w:lang w:eastAsia="en-GB"/>
        </w:rPr>
        <w:t xml:space="preserve"> </w:t>
      </w:r>
    </w:p>
    <w:p w14:paraId="4AADA21C" w14:textId="77777777" w:rsidR="004360C5" w:rsidRPr="002573C8" w:rsidRDefault="004360C5" w:rsidP="004360C5">
      <w:pPr>
        <w:pStyle w:val="NoSpacing"/>
        <w:jc w:val="both"/>
        <w:rPr>
          <w:sz w:val="24"/>
          <w:szCs w:val="24"/>
          <w:lang w:eastAsia="en-GB"/>
        </w:rPr>
      </w:pPr>
      <w:r w:rsidRPr="002573C8">
        <w:rPr>
          <w:sz w:val="24"/>
          <w:szCs w:val="24"/>
          <w:lang w:eastAsia="en-GB"/>
        </w:rPr>
        <w:t xml:space="preserve">Title: Compliance with Regulations on Use of Venue for Provider Accreditation   </w:t>
      </w:r>
    </w:p>
    <w:p w14:paraId="4AADA21D" w14:textId="77777777" w:rsidR="004360C5" w:rsidRPr="002573C8" w:rsidRDefault="004360C5" w:rsidP="004360C5">
      <w:pPr>
        <w:pStyle w:val="NoSpacing"/>
        <w:jc w:val="both"/>
        <w:rPr>
          <w:sz w:val="24"/>
          <w:szCs w:val="24"/>
          <w:lang w:eastAsia="en-GB"/>
        </w:rPr>
      </w:pPr>
      <w:r w:rsidRPr="002573C8">
        <w:rPr>
          <w:sz w:val="24"/>
          <w:szCs w:val="24"/>
          <w:lang w:eastAsia="en-GB"/>
        </w:rPr>
        <w:t xml:space="preserve">Date: 8th April 2015  </w:t>
      </w:r>
    </w:p>
    <w:p w14:paraId="4AADA21E" w14:textId="77777777" w:rsidR="004360C5" w:rsidRPr="002573C8" w:rsidRDefault="004360C5" w:rsidP="004360C5">
      <w:pPr>
        <w:pStyle w:val="NoSpacing"/>
        <w:jc w:val="both"/>
        <w:rPr>
          <w:sz w:val="24"/>
          <w:szCs w:val="24"/>
          <w:lang w:eastAsia="en-GB"/>
        </w:rPr>
      </w:pPr>
      <w:r w:rsidRPr="002573C8">
        <w:rPr>
          <w:sz w:val="24"/>
          <w:szCs w:val="24"/>
          <w:lang w:eastAsia="en-GB"/>
        </w:rPr>
        <w:t>Comm. No.:  03/2015</w:t>
      </w:r>
    </w:p>
    <w:p w14:paraId="4AADA21F" w14:textId="77777777" w:rsidR="004360C5" w:rsidRDefault="004360C5" w:rsidP="004360C5">
      <w:pPr>
        <w:pStyle w:val="NoSpacing"/>
        <w:jc w:val="both"/>
        <w:rPr>
          <w:sz w:val="24"/>
          <w:szCs w:val="24"/>
          <w:lang w:eastAsia="en-GB"/>
        </w:rPr>
      </w:pPr>
    </w:p>
    <w:p w14:paraId="4AADA220" w14:textId="77777777" w:rsidR="0052279F" w:rsidRPr="002573C8" w:rsidRDefault="0052279F" w:rsidP="004360C5">
      <w:pPr>
        <w:pStyle w:val="NoSpacing"/>
        <w:jc w:val="both"/>
        <w:rPr>
          <w:lang w:eastAsia="en-GB"/>
        </w:rPr>
      </w:pPr>
    </w:p>
    <w:p w14:paraId="4AADA221" w14:textId="77777777" w:rsidR="004360C5" w:rsidRPr="002573C8" w:rsidRDefault="004360C5" w:rsidP="004360C5">
      <w:pPr>
        <w:pStyle w:val="NoSpacing"/>
        <w:jc w:val="both"/>
        <w:rPr>
          <w:lang w:eastAsia="en-GB"/>
        </w:rPr>
      </w:pPr>
      <w:r w:rsidRPr="002573C8">
        <w:rPr>
          <w:lang w:eastAsia="en-GB"/>
        </w:rPr>
        <w:t xml:space="preserve">Reference is made to Regulation 9 (6) of Legal Notice 296/2012: </w:t>
      </w:r>
    </w:p>
    <w:p w14:paraId="4AADA222" w14:textId="77777777" w:rsidR="004360C5" w:rsidRPr="002573C8" w:rsidRDefault="004360C5" w:rsidP="004360C5">
      <w:pPr>
        <w:pStyle w:val="NoSpacing"/>
        <w:jc w:val="both"/>
        <w:rPr>
          <w:lang w:eastAsia="en-GB"/>
        </w:rPr>
      </w:pPr>
    </w:p>
    <w:p w14:paraId="4AADA223" w14:textId="77777777" w:rsidR="004360C5" w:rsidRPr="002573C8" w:rsidRDefault="004360C5" w:rsidP="004360C5">
      <w:pPr>
        <w:pStyle w:val="NoSpacing"/>
        <w:ind w:left="720"/>
        <w:jc w:val="both"/>
        <w:rPr>
          <w:i/>
          <w:lang w:eastAsia="en-GB"/>
        </w:rPr>
      </w:pPr>
      <w:r w:rsidRPr="002573C8">
        <w:rPr>
          <w:i/>
          <w:lang w:eastAsia="en-GB"/>
        </w:rPr>
        <w:t>The Commission shall make and publish guidelines to establish such information to be supplied annually by licensees:</w:t>
      </w:r>
    </w:p>
    <w:p w14:paraId="4AADA224" w14:textId="77777777" w:rsidR="004360C5" w:rsidRPr="002573C8" w:rsidRDefault="004360C5" w:rsidP="004360C5">
      <w:pPr>
        <w:pStyle w:val="NoSpacing"/>
        <w:jc w:val="both"/>
        <w:rPr>
          <w:lang w:eastAsia="en-GB"/>
        </w:rPr>
      </w:pPr>
      <w:r w:rsidRPr="002573C8">
        <w:rPr>
          <w:lang w:eastAsia="en-GB"/>
        </w:rPr>
        <w:t xml:space="preserve">  </w:t>
      </w:r>
    </w:p>
    <w:p w14:paraId="4AADA225" w14:textId="77777777" w:rsidR="004360C5" w:rsidRPr="002573C8" w:rsidRDefault="004360C5" w:rsidP="004360C5">
      <w:pPr>
        <w:pStyle w:val="NoSpacing"/>
        <w:ind w:left="720"/>
        <w:jc w:val="both"/>
        <w:rPr>
          <w:lang w:eastAsia="en-GB"/>
        </w:rPr>
      </w:pPr>
      <w:r w:rsidRPr="002573C8">
        <w:rPr>
          <w:i/>
          <w:lang w:eastAsia="en-GB"/>
        </w:rPr>
        <w:t>Provided that, by means of such guidelines, the Commission may establish different information requirements for different categories of licensees referred to in the Second Schedule</w:t>
      </w:r>
      <w:r w:rsidRPr="002573C8">
        <w:rPr>
          <w:lang w:eastAsia="en-GB"/>
        </w:rPr>
        <w:t xml:space="preserve">. </w:t>
      </w:r>
    </w:p>
    <w:p w14:paraId="4AADA226" w14:textId="77777777" w:rsidR="004360C5" w:rsidRPr="002573C8" w:rsidRDefault="004360C5" w:rsidP="004360C5">
      <w:pPr>
        <w:pStyle w:val="NoSpacing"/>
        <w:ind w:left="720"/>
        <w:jc w:val="both"/>
        <w:rPr>
          <w:lang w:eastAsia="en-GB"/>
        </w:rPr>
      </w:pPr>
    </w:p>
    <w:p w14:paraId="4AADA227" w14:textId="77777777" w:rsidR="004360C5" w:rsidRPr="002573C8" w:rsidRDefault="004360C5" w:rsidP="004360C5">
      <w:pPr>
        <w:pStyle w:val="NoSpacing"/>
        <w:jc w:val="both"/>
        <w:rPr>
          <w:lang w:eastAsia="en-GB"/>
        </w:rPr>
      </w:pPr>
      <w:r w:rsidRPr="002573C8">
        <w:rPr>
          <w:lang w:eastAsia="en-GB"/>
        </w:rPr>
        <w:t xml:space="preserve">and to Regulation 11 (1) (d): </w:t>
      </w:r>
    </w:p>
    <w:p w14:paraId="4AADA228" w14:textId="77777777" w:rsidR="004360C5" w:rsidRPr="002573C8" w:rsidRDefault="004360C5" w:rsidP="004360C5">
      <w:pPr>
        <w:pStyle w:val="NoSpacing"/>
        <w:jc w:val="both"/>
        <w:rPr>
          <w:lang w:eastAsia="en-GB"/>
        </w:rPr>
      </w:pPr>
    </w:p>
    <w:p w14:paraId="4AADA229" w14:textId="77777777" w:rsidR="004360C5" w:rsidRPr="002573C8" w:rsidRDefault="004360C5" w:rsidP="004360C5">
      <w:pPr>
        <w:pStyle w:val="NoSpacing"/>
        <w:ind w:left="720"/>
        <w:jc w:val="both"/>
        <w:rPr>
          <w:i/>
          <w:lang w:eastAsia="en-GB"/>
        </w:rPr>
      </w:pPr>
      <w:r w:rsidRPr="002573C8">
        <w:rPr>
          <w:i/>
          <w:lang w:eastAsia="en-GB"/>
        </w:rPr>
        <w:t xml:space="preserve">the Commission may also refuse to issue, renew, change or extend a licence if it is satisfied that: (...) </w:t>
      </w:r>
    </w:p>
    <w:p w14:paraId="4AADA22A" w14:textId="77777777" w:rsidR="004360C5" w:rsidRPr="002573C8" w:rsidRDefault="004360C5" w:rsidP="004360C5">
      <w:pPr>
        <w:pStyle w:val="NoSpacing"/>
        <w:ind w:left="720"/>
        <w:jc w:val="both"/>
        <w:rPr>
          <w:lang w:eastAsia="en-GB"/>
        </w:rPr>
      </w:pPr>
    </w:p>
    <w:p w14:paraId="4AADA22B" w14:textId="77777777" w:rsidR="004360C5" w:rsidRPr="002573C8" w:rsidRDefault="004360C5" w:rsidP="004360C5">
      <w:pPr>
        <w:pStyle w:val="NoSpacing"/>
        <w:jc w:val="both"/>
        <w:rPr>
          <w:i/>
          <w:lang w:eastAsia="en-GB"/>
        </w:rPr>
      </w:pPr>
      <w:r w:rsidRPr="002573C8">
        <w:rPr>
          <w:i/>
          <w:lang w:eastAsia="en-GB"/>
        </w:rPr>
        <w:t xml:space="preserve">(iii) the provider uses or proposes to use its premises in contravention of applicable      development and planning regulations or for any purposes which are in any way improper, unethical or unlawful.   </w:t>
      </w:r>
    </w:p>
    <w:p w14:paraId="4AADA22C" w14:textId="77777777" w:rsidR="004360C5" w:rsidRPr="002573C8" w:rsidRDefault="004360C5" w:rsidP="004360C5">
      <w:pPr>
        <w:pStyle w:val="NoSpacing"/>
        <w:jc w:val="both"/>
        <w:rPr>
          <w:lang w:eastAsia="en-GB"/>
        </w:rPr>
      </w:pPr>
    </w:p>
    <w:p w14:paraId="4AADA22D" w14:textId="77777777" w:rsidR="004360C5" w:rsidRPr="002573C8" w:rsidRDefault="004360C5" w:rsidP="004360C5">
      <w:pPr>
        <w:pStyle w:val="NoSpacing"/>
        <w:jc w:val="both"/>
        <w:rPr>
          <w:lang w:eastAsia="en-GB"/>
        </w:rPr>
      </w:pPr>
      <w:r w:rsidRPr="002573C8">
        <w:rPr>
          <w:lang w:eastAsia="en-GB"/>
        </w:rPr>
        <w:t xml:space="preserve">To streamline the process of provider accreditation, and especially to facilitate the process of approval for entities that do not have a fixed venue because of the nature of their provision, the NCFHE is issuing the following regulations with respect to the compliance of regulation for use of venue.  </w:t>
      </w:r>
    </w:p>
    <w:p w14:paraId="4AADA22E" w14:textId="77777777" w:rsidR="00957DC8" w:rsidRPr="002573C8" w:rsidRDefault="00957DC8" w:rsidP="004360C5">
      <w:pPr>
        <w:pStyle w:val="NoSpacing"/>
        <w:jc w:val="both"/>
        <w:rPr>
          <w:lang w:eastAsia="en-GB"/>
        </w:rPr>
      </w:pPr>
    </w:p>
    <w:p w14:paraId="4AADA22F" w14:textId="77777777" w:rsidR="00957DC8" w:rsidRPr="002573C8" w:rsidRDefault="004360C5" w:rsidP="004360C5">
      <w:pPr>
        <w:pStyle w:val="NoSpacing"/>
        <w:jc w:val="both"/>
        <w:rPr>
          <w:lang w:eastAsia="en-GB"/>
        </w:rPr>
      </w:pPr>
      <w:r w:rsidRPr="002573C8">
        <w:rPr>
          <w:lang w:eastAsia="en-GB"/>
        </w:rPr>
        <w:t>The NCFHE distinguishes between:</w:t>
      </w:r>
    </w:p>
    <w:p w14:paraId="4AADA230" w14:textId="77777777" w:rsidR="004360C5" w:rsidRPr="002573C8" w:rsidRDefault="004360C5" w:rsidP="004360C5">
      <w:pPr>
        <w:pStyle w:val="NoSpacing"/>
        <w:jc w:val="both"/>
        <w:rPr>
          <w:lang w:eastAsia="en-GB"/>
        </w:rPr>
      </w:pPr>
      <w:r w:rsidRPr="002573C8">
        <w:rPr>
          <w:lang w:eastAsia="en-GB"/>
        </w:rPr>
        <w:t xml:space="preserve"> </w:t>
      </w:r>
    </w:p>
    <w:p w14:paraId="4AADA231" w14:textId="77777777" w:rsidR="004360C5" w:rsidRPr="002573C8" w:rsidRDefault="004360C5" w:rsidP="004360C5">
      <w:pPr>
        <w:pStyle w:val="NoSpacing"/>
        <w:jc w:val="both"/>
        <w:rPr>
          <w:lang w:eastAsia="en-GB"/>
        </w:rPr>
      </w:pPr>
      <w:r w:rsidRPr="002573C8">
        <w:rPr>
          <w:lang w:eastAsia="en-GB"/>
        </w:rPr>
        <w:t xml:space="preserve">• internal provision: regular provision within approved premises • external provision: provision that takes place exclusively or for a significant proportion in the open air due to the nature of the provision itself, </w:t>
      </w:r>
      <w:proofErr w:type="gramStart"/>
      <w:r w:rsidRPr="002573C8">
        <w:rPr>
          <w:lang w:eastAsia="en-GB"/>
        </w:rPr>
        <w:t>e.g.</w:t>
      </w:r>
      <w:proofErr w:type="gramEnd"/>
      <w:r w:rsidRPr="002573C8">
        <w:rPr>
          <w:lang w:eastAsia="en-GB"/>
        </w:rPr>
        <w:t xml:space="preserve"> scuba diving, abseiling, camping, fire</w:t>
      </w:r>
      <w:r w:rsidR="00220BF6" w:rsidRPr="002573C8">
        <w:rPr>
          <w:lang w:eastAsia="en-GB"/>
        </w:rPr>
        <w:t>-</w:t>
      </w:r>
      <w:r w:rsidRPr="002573C8">
        <w:rPr>
          <w:lang w:eastAsia="en-GB"/>
        </w:rPr>
        <w:t xml:space="preserve">fighting, etc.  • home provision: provision that takes place at the provider’s home due to specific circumstances approved on a case-by-case basis by the NCFHE: </w:t>
      </w:r>
      <w:proofErr w:type="gramStart"/>
      <w:r w:rsidRPr="002573C8">
        <w:rPr>
          <w:lang w:eastAsia="en-GB"/>
        </w:rPr>
        <w:t>e.g.</w:t>
      </w:r>
      <w:proofErr w:type="gramEnd"/>
      <w:r w:rsidRPr="002573C8">
        <w:rPr>
          <w:lang w:eastAsia="en-GB"/>
        </w:rPr>
        <w:t xml:space="preserve"> teaching of music or academic subjects to small groups, etc.    </w:t>
      </w:r>
    </w:p>
    <w:p w14:paraId="4AADA232" w14:textId="77777777" w:rsidR="004360C5" w:rsidRPr="002573C8" w:rsidRDefault="004360C5" w:rsidP="004360C5">
      <w:pPr>
        <w:pStyle w:val="NoSpacing"/>
        <w:jc w:val="both"/>
        <w:rPr>
          <w:lang w:eastAsia="en-GB"/>
        </w:rPr>
      </w:pPr>
      <w:r w:rsidRPr="002573C8">
        <w:rPr>
          <w:lang w:eastAsia="en-GB"/>
        </w:rPr>
        <w:t xml:space="preserve">    </w:t>
      </w:r>
    </w:p>
    <w:p w14:paraId="4AADA233" w14:textId="77777777" w:rsidR="004360C5" w:rsidRPr="002573C8" w:rsidRDefault="004360C5" w:rsidP="004360C5">
      <w:pPr>
        <w:pStyle w:val="NoSpacing"/>
        <w:jc w:val="both"/>
        <w:rPr>
          <w:b/>
          <w:lang w:eastAsia="en-GB"/>
        </w:rPr>
      </w:pPr>
      <w:r w:rsidRPr="002573C8">
        <w:rPr>
          <w:b/>
          <w:lang w:eastAsia="en-GB"/>
        </w:rPr>
        <w:t xml:space="preserve">A. Internal provision </w:t>
      </w:r>
    </w:p>
    <w:p w14:paraId="4AADA234" w14:textId="77777777" w:rsidR="00957DC8" w:rsidRPr="002573C8" w:rsidRDefault="00957DC8" w:rsidP="004360C5">
      <w:pPr>
        <w:pStyle w:val="NoSpacing"/>
        <w:jc w:val="both"/>
        <w:rPr>
          <w:b/>
          <w:lang w:eastAsia="en-GB"/>
        </w:rPr>
      </w:pPr>
    </w:p>
    <w:p w14:paraId="4AADA235" w14:textId="77777777" w:rsidR="00957DC8" w:rsidRPr="002573C8" w:rsidRDefault="004360C5" w:rsidP="004360C5">
      <w:pPr>
        <w:pStyle w:val="NoSpacing"/>
        <w:jc w:val="both"/>
        <w:rPr>
          <w:lang w:eastAsia="en-GB"/>
        </w:rPr>
      </w:pPr>
      <w:r w:rsidRPr="002573C8">
        <w:rPr>
          <w:lang w:eastAsia="en-GB"/>
        </w:rPr>
        <w:t xml:space="preserve">1. A MEPA compliance certificate is required; </w:t>
      </w:r>
      <w:proofErr w:type="gramStart"/>
      <w:r w:rsidRPr="002573C8">
        <w:rPr>
          <w:lang w:eastAsia="en-GB"/>
        </w:rPr>
        <w:t>OR  documentation</w:t>
      </w:r>
      <w:proofErr w:type="gramEnd"/>
      <w:r w:rsidRPr="002573C8">
        <w:rPr>
          <w:lang w:eastAsia="en-GB"/>
        </w:rPr>
        <w:t xml:space="preserve"> from MEPA confirming that the premises is in compliance with regulations for the purposes of tuition, OR confirming that MEPA has agreed on an implementation plan that will allow the provider to be in compliance with such regulations over a specified period of time.  </w:t>
      </w:r>
    </w:p>
    <w:p w14:paraId="4AADA236" w14:textId="77777777" w:rsidR="00957DC8" w:rsidRPr="002573C8" w:rsidRDefault="00957DC8" w:rsidP="004360C5">
      <w:pPr>
        <w:pStyle w:val="NoSpacing"/>
        <w:jc w:val="both"/>
        <w:rPr>
          <w:lang w:eastAsia="en-GB"/>
        </w:rPr>
      </w:pPr>
    </w:p>
    <w:p w14:paraId="4AADA237" w14:textId="77777777" w:rsidR="00957DC8" w:rsidRPr="002573C8" w:rsidRDefault="004360C5" w:rsidP="004360C5">
      <w:pPr>
        <w:pStyle w:val="NoSpacing"/>
        <w:jc w:val="both"/>
        <w:rPr>
          <w:lang w:eastAsia="en-GB"/>
        </w:rPr>
      </w:pPr>
      <w:r w:rsidRPr="002573C8">
        <w:rPr>
          <w:lang w:eastAsia="en-GB"/>
        </w:rPr>
        <w:t xml:space="preserve">2. If the tuition includes minors, then the National Minimum Conditions for schools (1994) apply.  </w:t>
      </w:r>
    </w:p>
    <w:p w14:paraId="4AADA238" w14:textId="77777777" w:rsidR="00957DC8" w:rsidRPr="002573C8" w:rsidRDefault="00957DC8" w:rsidP="004360C5">
      <w:pPr>
        <w:pStyle w:val="NoSpacing"/>
        <w:jc w:val="both"/>
        <w:rPr>
          <w:lang w:eastAsia="en-GB"/>
        </w:rPr>
      </w:pPr>
    </w:p>
    <w:p w14:paraId="4AADA239" w14:textId="77777777" w:rsidR="00957DC8" w:rsidRPr="002573C8" w:rsidRDefault="004360C5" w:rsidP="004360C5">
      <w:pPr>
        <w:pStyle w:val="NoSpacing"/>
        <w:jc w:val="both"/>
        <w:rPr>
          <w:lang w:eastAsia="en-GB"/>
        </w:rPr>
      </w:pPr>
      <w:r w:rsidRPr="002573C8">
        <w:rPr>
          <w:lang w:eastAsia="en-GB"/>
        </w:rPr>
        <w:lastRenderedPageBreak/>
        <w:t xml:space="preserve">3. If the premises are old and cannot have MEPA documentation as per the point above, a health and safety report that includes sanitation and fire safety is required every two years. This report is carried out at the expense of the applicant. In such cases, the licence issued would be valid for two years, and the licence fee, which normally covers accreditation for five years, is calculated pro-rata.  </w:t>
      </w:r>
    </w:p>
    <w:p w14:paraId="4AADA23A" w14:textId="77777777" w:rsidR="00957DC8" w:rsidRPr="002573C8" w:rsidRDefault="00957DC8" w:rsidP="004360C5">
      <w:pPr>
        <w:pStyle w:val="NoSpacing"/>
        <w:jc w:val="both"/>
        <w:rPr>
          <w:lang w:eastAsia="en-GB"/>
        </w:rPr>
      </w:pPr>
    </w:p>
    <w:p w14:paraId="4AADA23B" w14:textId="77777777" w:rsidR="00957DC8" w:rsidRPr="002573C8" w:rsidRDefault="004360C5" w:rsidP="004360C5">
      <w:pPr>
        <w:pStyle w:val="NoSpacing"/>
        <w:jc w:val="both"/>
        <w:rPr>
          <w:lang w:eastAsia="en-GB"/>
        </w:rPr>
      </w:pPr>
      <w:r w:rsidRPr="002573C8">
        <w:rPr>
          <w:lang w:eastAsia="en-GB"/>
        </w:rPr>
        <w:t xml:space="preserve">4. Sports grounds are considered venues for internal provision.  </w:t>
      </w:r>
    </w:p>
    <w:p w14:paraId="4AADA23C" w14:textId="77777777" w:rsidR="00957DC8" w:rsidRPr="002573C8" w:rsidRDefault="00957DC8" w:rsidP="004360C5">
      <w:pPr>
        <w:pStyle w:val="NoSpacing"/>
        <w:jc w:val="both"/>
        <w:rPr>
          <w:lang w:eastAsia="en-GB"/>
        </w:rPr>
      </w:pPr>
    </w:p>
    <w:p w14:paraId="4AADA23D" w14:textId="77777777" w:rsidR="00957DC8" w:rsidRPr="002573C8" w:rsidRDefault="004360C5" w:rsidP="004360C5">
      <w:pPr>
        <w:pStyle w:val="NoSpacing"/>
        <w:jc w:val="both"/>
        <w:rPr>
          <w:lang w:eastAsia="en-GB"/>
        </w:rPr>
      </w:pPr>
      <w:r w:rsidRPr="002573C8">
        <w:rPr>
          <w:lang w:eastAsia="en-GB"/>
        </w:rPr>
        <w:t xml:space="preserve">5. Local councils, licensed schools including English language schools, functioning sports venues, functioning religious venues (youth centres, church halls etc.) and functioning hotels are deemed to be fit for purpose for regular tuition that would normally be held in such venues. Applicants need only a letter of authorisation from the hosting venue. The NCFHE shall have the power to decide whether a particular venue is fit for purpose for the </w:t>
      </w:r>
      <w:proofErr w:type="gramStart"/>
      <w:r w:rsidRPr="002573C8">
        <w:rPr>
          <w:lang w:eastAsia="en-GB"/>
        </w:rPr>
        <w:t>particular proposed</w:t>
      </w:r>
      <w:proofErr w:type="gramEnd"/>
      <w:r w:rsidRPr="002573C8">
        <w:rPr>
          <w:lang w:eastAsia="en-GB"/>
        </w:rPr>
        <w:t xml:space="preserve"> tuition. In any case the NCFHE may request a MEPA compliance certificate as part of its due diligence.  </w:t>
      </w:r>
    </w:p>
    <w:p w14:paraId="4AADA23E" w14:textId="77777777" w:rsidR="00957DC8" w:rsidRPr="002573C8" w:rsidRDefault="00957DC8" w:rsidP="004360C5">
      <w:pPr>
        <w:pStyle w:val="NoSpacing"/>
        <w:jc w:val="both"/>
        <w:rPr>
          <w:lang w:eastAsia="en-GB"/>
        </w:rPr>
      </w:pPr>
    </w:p>
    <w:p w14:paraId="4AADA23F" w14:textId="77777777" w:rsidR="004360C5" w:rsidRPr="002573C8" w:rsidRDefault="004360C5" w:rsidP="004360C5">
      <w:pPr>
        <w:pStyle w:val="NoSpacing"/>
        <w:jc w:val="both"/>
        <w:rPr>
          <w:lang w:eastAsia="en-GB"/>
        </w:rPr>
      </w:pPr>
      <w:r w:rsidRPr="002573C8">
        <w:rPr>
          <w:lang w:eastAsia="en-GB"/>
        </w:rPr>
        <w:t xml:space="preserve">6. Any venue that is subject to criminal investigation or MEPA regulatory action is disqualified as an eligible venue for accredited provision. </w:t>
      </w:r>
    </w:p>
    <w:p w14:paraId="4AADA240" w14:textId="77777777" w:rsidR="00957DC8" w:rsidRPr="002573C8" w:rsidRDefault="00957DC8" w:rsidP="004360C5">
      <w:pPr>
        <w:pStyle w:val="NoSpacing"/>
        <w:jc w:val="both"/>
        <w:rPr>
          <w:lang w:eastAsia="en-GB"/>
        </w:rPr>
      </w:pPr>
    </w:p>
    <w:p w14:paraId="4AADA241" w14:textId="77777777" w:rsidR="00957DC8" w:rsidRPr="002573C8" w:rsidRDefault="00957DC8" w:rsidP="004360C5">
      <w:pPr>
        <w:pStyle w:val="NoSpacing"/>
        <w:jc w:val="both"/>
        <w:rPr>
          <w:lang w:eastAsia="en-GB"/>
        </w:rPr>
      </w:pPr>
    </w:p>
    <w:p w14:paraId="4AADA242" w14:textId="77777777" w:rsidR="00957DC8" w:rsidRPr="002573C8" w:rsidRDefault="004360C5" w:rsidP="004360C5">
      <w:pPr>
        <w:pStyle w:val="NoSpacing"/>
        <w:jc w:val="both"/>
        <w:rPr>
          <w:b/>
          <w:lang w:eastAsia="en-GB"/>
        </w:rPr>
      </w:pPr>
      <w:r w:rsidRPr="002573C8">
        <w:rPr>
          <w:b/>
          <w:lang w:eastAsia="en-GB"/>
        </w:rPr>
        <w:t>B. External provision</w:t>
      </w:r>
    </w:p>
    <w:p w14:paraId="4AADA243" w14:textId="77777777" w:rsidR="004360C5" w:rsidRPr="002573C8" w:rsidRDefault="004360C5" w:rsidP="004360C5">
      <w:pPr>
        <w:pStyle w:val="NoSpacing"/>
        <w:jc w:val="both"/>
        <w:rPr>
          <w:lang w:eastAsia="en-GB"/>
        </w:rPr>
      </w:pPr>
      <w:r w:rsidRPr="002573C8">
        <w:rPr>
          <w:lang w:eastAsia="en-GB"/>
        </w:rPr>
        <w:t xml:space="preserve"> </w:t>
      </w:r>
    </w:p>
    <w:p w14:paraId="4AADA244" w14:textId="77777777" w:rsidR="00957DC8" w:rsidRPr="002573C8" w:rsidRDefault="004360C5" w:rsidP="004360C5">
      <w:pPr>
        <w:pStyle w:val="NoSpacing"/>
        <w:jc w:val="both"/>
        <w:rPr>
          <w:lang w:eastAsia="en-GB"/>
        </w:rPr>
      </w:pPr>
      <w:r w:rsidRPr="002573C8">
        <w:rPr>
          <w:lang w:eastAsia="en-GB"/>
        </w:rPr>
        <w:t xml:space="preserve">1. A health and safety report is required for every external venue used. This report is carried out at the expense of the applicant. In such cases the licence issued would be valid for two years, and the licence fee, which normally covers accreditation for five years, is calculated pro-rata.  </w:t>
      </w:r>
    </w:p>
    <w:p w14:paraId="4AADA245" w14:textId="77777777" w:rsidR="00957DC8" w:rsidRPr="002573C8" w:rsidRDefault="00957DC8" w:rsidP="004360C5">
      <w:pPr>
        <w:pStyle w:val="NoSpacing"/>
        <w:jc w:val="both"/>
        <w:rPr>
          <w:lang w:eastAsia="en-GB"/>
        </w:rPr>
      </w:pPr>
    </w:p>
    <w:p w14:paraId="4AADA246" w14:textId="77777777" w:rsidR="00957DC8" w:rsidRPr="002573C8" w:rsidRDefault="004360C5" w:rsidP="004360C5">
      <w:pPr>
        <w:pStyle w:val="NoSpacing"/>
        <w:jc w:val="both"/>
        <w:rPr>
          <w:lang w:eastAsia="en-GB"/>
        </w:rPr>
      </w:pPr>
      <w:r w:rsidRPr="002573C8">
        <w:rPr>
          <w:lang w:eastAsia="en-GB"/>
        </w:rPr>
        <w:t>2. However, if the venue is already covered by a MEPA permit for this use, the venue is treated as with internal provision.</w:t>
      </w:r>
    </w:p>
    <w:p w14:paraId="4AADA247" w14:textId="77777777" w:rsidR="00957DC8" w:rsidRPr="002573C8" w:rsidRDefault="00957DC8" w:rsidP="004360C5">
      <w:pPr>
        <w:pStyle w:val="NoSpacing"/>
        <w:jc w:val="both"/>
        <w:rPr>
          <w:lang w:eastAsia="en-GB"/>
        </w:rPr>
      </w:pPr>
    </w:p>
    <w:p w14:paraId="4AADA248" w14:textId="77777777" w:rsidR="004360C5" w:rsidRPr="002573C8" w:rsidRDefault="004360C5" w:rsidP="004360C5">
      <w:pPr>
        <w:pStyle w:val="NoSpacing"/>
        <w:jc w:val="both"/>
        <w:rPr>
          <w:lang w:eastAsia="en-GB"/>
        </w:rPr>
      </w:pPr>
      <w:r w:rsidRPr="002573C8">
        <w:rPr>
          <w:lang w:eastAsia="en-GB"/>
        </w:rPr>
        <w:t xml:space="preserve">   </w:t>
      </w:r>
    </w:p>
    <w:p w14:paraId="4AADA249" w14:textId="77777777" w:rsidR="00957DC8" w:rsidRPr="002573C8" w:rsidRDefault="004360C5" w:rsidP="004360C5">
      <w:pPr>
        <w:pStyle w:val="NoSpacing"/>
        <w:jc w:val="both"/>
        <w:rPr>
          <w:b/>
          <w:lang w:eastAsia="en-GB"/>
        </w:rPr>
      </w:pPr>
      <w:r w:rsidRPr="002573C8">
        <w:rPr>
          <w:b/>
          <w:lang w:eastAsia="en-GB"/>
        </w:rPr>
        <w:t>C. Home provision</w:t>
      </w:r>
    </w:p>
    <w:p w14:paraId="4AADA24A" w14:textId="77777777" w:rsidR="004360C5" w:rsidRPr="002573C8" w:rsidRDefault="004360C5" w:rsidP="004360C5">
      <w:pPr>
        <w:pStyle w:val="NoSpacing"/>
        <w:jc w:val="both"/>
        <w:rPr>
          <w:lang w:eastAsia="en-GB"/>
        </w:rPr>
      </w:pPr>
      <w:r w:rsidRPr="002573C8">
        <w:rPr>
          <w:lang w:eastAsia="en-GB"/>
        </w:rPr>
        <w:t xml:space="preserve"> </w:t>
      </w:r>
    </w:p>
    <w:p w14:paraId="4AADA24B" w14:textId="77777777" w:rsidR="00957DC8" w:rsidRPr="002573C8" w:rsidRDefault="004360C5" w:rsidP="004360C5">
      <w:pPr>
        <w:pStyle w:val="NoSpacing"/>
        <w:jc w:val="both"/>
        <w:rPr>
          <w:lang w:eastAsia="en-GB"/>
        </w:rPr>
      </w:pPr>
      <w:r w:rsidRPr="002573C8">
        <w:rPr>
          <w:lang w:eastAsia="en-GB"/>
        </w:rPr>
        <w:t xml:space="preserve">1. A health and safety report that includes sanitation and fire safety is required every two years. This report is carried out at the expense of the applicant. In this case the licence issued would be valid for two years, and the licence fee, which normally covers accreditation for five years, is calculated pro-rata.  </w:t>
      </w:r>
    </w:p>
    <w:p w14:paraId="4AADA24C" w14:textId="77777777" w:rsidR="00F50DA6" w:rsidRPr="002573C8" w:rsidRDefault="00F50DA6" w:rsidP="004360C5">
      <w:pPr>
        <w:pStyle w:val="NoSpacing"/>
        <w:jc w:val="both"/>
        <w:rPr>
          <w:lang w:eastAsia="en-GB"/>
        </w:rPr>
      </w:pPr>
    </w:p>
    <w:p w14:paraId="4AADA24D" w14:textId="77777777" w:rsidR="004360C5" w:rsidRPr="002573C8" w:rsidRDefault="004360C5" w:rsidP="004360C5">
      <w:pPr>
        <w:pStyle w:val="NoSpacing"/>
        <w:jc w:val="both"/>
        <w:rPr>
          <w:lang w:eastAsia="en-GB"/>
        </w:rPr>
      </w:pPr>
      <w:r w:rsidRPr="002573C8">
        <w:rPr>
          <w:lang w:eastAsia="en-GB"/>
        </w:rPr>
        <w:t xml:space="preserve">2. Provider licences with home provision shall have a limit on the number of learners at any one time on the premises, which shall be determined by the size of the room used for tuition. This must have a minimum of two (2) square meters of space per </w:t>
      </w:r>
      <w:proofErr w:type="gramStart"/>
      <w:r w:rsidRPr="002573C8">
        <w:rPr>
          <w:lang w:eastAsia="en-GB"/>
        </w:rPr>
        <w:t>learner, and</w:t>
      </w:r>
      <w:proofErr w:type="gramEnd"/>
      <w:r w:rsidRPr="002573C8">
        <w:rPr>
          <w:lang w:eastAsia="en-GB"/>
        </w:rPr>
        <w:t xml:space="preserve"> shall not accommodate more than 10 learners at any one time.   </w:t>
      </w:r>
    </w:p>
    <w:p w14:paraId="4AADA24E" w14:textId="77777777" w:rsidR="004360C5" w:rsidRPr="002573C8" w:rsidRDefault="004360C5" w:rsidP="004360C5">
      <w:pPr>
        <w:pStyle w:val="NoSpacing"/>
        <w:jc w:val="both"/>
        <w:rPr>
          <w:lang w:eastAsia="en-GB"/>
        </w:rPr>
      </w:pPr>
      <w:r w:rsidRPr="002573C8">
        <w:rPr>
          <w:lang w:eastAsia="en-GB"/>
        </w:rPr>
        <w:t xml:space="preserve">     </w:t>
      </w:r>
    </w:p>
    <w:p w14:paraId="4AADA24F" w14:textId="77777777" w:rsidR="00957DC8" w:rsidRPr="002573C8" w:rsidRDefault="004360C5" w:rsidP="004360C5">
      <w:pPr>
        <w:pStyle w:val="NoSpacing"/>
        <w:jc w:val="both"/>
        <w:rPr>
          <w:lang w:eastAsia="en-GB"/>
        </w:rPr>
      </w:pPr>
      <w:r w:rsidRPr="002573C8">
        <w:rPr>
          <w:lang w:eastAsia="en-GB"/>
        </w:rPr>
        <w:t xml:space="preserve">These regulations come into force with immediate effect. </w:t>
      </w:r>
    </w:p>
    <w:p w14:paraId="4AADA250" w14:textId="77777777" w:rsidR="00957DC8" w:rsidRPr="002573C8" w:rsidRDefault="00957DC8" w:rsidP="004360C5">
      <w:pPr>
        <w:pStyle w:val="NoSpacing"/>
        <w:jc w:val="both"/>
        <w:rPr>
          <w:lang w:eastAsia="en-GB"/>
        </w:rPr>
      </w:pPr>
    </w:p>
    <w:p w14:paraId="4AADA251" w14:textId="77777777" w:rsidR="004360C5" w:rsidRPr="002573C8" w:rsidRDefault="004360C5" w:rsidP="004360C5">
      <w:pPr>
        <w:pStyle w:val="NoSpacing"/>
        <w:jc w:val="both"/>
        <w:rPr>
          <w:lang w:eastAsia="en-GB"/>
        </w:rPr>
      </w:pPr>
      <w:r w:rsidRPr="002573C8">
        <w:rPr>
          <w:lang w:eastAsia="en-GB"/>
        </w:rPr>
        <w:t xml:space="preserve"> </w:t>
      </w:r>
    </w:p>
    <w:p w14:paraId="4AADA252" w14:textId="77777777" w:rsidR="0094242A" w:rsidRPr="002573C8" w:rsidRDefault="0094242A" w:rsidP="004360C5">
      <w:pPr>
        <w:pStyle w:val="NoSpacing"/>
        <w:jc w:val="both"/>
        <w:rPr>
          <w:lang w:eastAsia="en-GB"/>
        </w:rPr>
      </w:pPr>
    </w:p>
    <w:p w14:paraId="4AADA253" w14:textId="77777777" w:rsidR="0094242A" w:rsidRPr="002573C8" w:rsidRDefault="0094242A" w:rsidP="004360C5">
      <w:pPr>
        <w:pStyle w:val="NoSpacing"/>
        <w:jc w:val="both"/>
        <w:rPr>
          <w:lang w:eastAsia="en-GB"/>
        </w:rPr>
      </w:pPr>
    </w:p>
    <w:p w14:paraId="4AADA254" w14:textId="2C6B0840" w:rsidR="0094242A" w:rsidRDefault="0094242A" w:rsidP="004360C5">
      <w:pPr>
        <w:pStyle w:val="NoSpacing"/>
        <w:jc w:val="both"/>
        <w:rPr>
          <w:lang w:eastAsia="en-GB"/>
        </w:rPr>
      </w:pPr>
    </w:p>
    <w:p w14:paraId="21285C17" w14:textId="246193DB" w:rsidR="00974231" w:rsidRDefault="00974231" w:rsidP="004360C5">
      <w:pPr>
        <w:pStyle w:val="NoSpacing"/>
        <w:jc w:val="both"/>
        <w:rPr>
          <w:lang w:eastAsia="en-GB"/>
        </w:rPr>
      </w:pPr>
    </w:p>
    <w:p w14:paraId="4E72068F" w14:textId="0772792A" w:rsidR="00974231" w:rsidRDefault="00974231" w:rsidP="004360C5">
      <w:pPr>
        <w:pStyle w:val="NoSpacing"/>
        <w:jc w:val="both"/>
        <w:rPr>
          <w:lang w:eastAsia="en-GB"/>
        </w:rPr>
      </w:pPr>
    </w:p>
    <w:p w14:paraId="4D9EF23C" w14:textId="65BFC78E" w:rsidR="00974231" w:rsidRDefault="00974231" w:rsidP="004360C5">
      <w:pPr>
        <w:pStyle w:val="NoSpacing"/>
        <w:jc w:val="both"/>
        <w:rPr>
          <w:lang w:eastAsia="en-GB"/>
        </w:rPr>
      </w:pPr>
    </w:p>
    <w:p w14:paraId="095771AC" w14:textId="7AB09A37" w:rsidR="00974231" w:rsidRDefault="00974231" w:rsidP="004360C5">
      <w:pPr>
        <w:pStyle w:val="NoSpacing"/>
        <w:jc w:val="both"/>
        <w:rPr>
          <w:lang w:eastAsia="en-GB"/>
        </w:rPr>
      </w:pPr>
    </w:p>
    <w:p w14:paraId="64191BCD" w14:textId="77777777" w:rsidR="00974231" w:rsidRPr="002573C8" w:rsidRDefault="00974231" w:rsidP="004360C5">
      <w:pPr>
        <w:pStyle w:val="NoSpacing"/>
        <w:jc w:val="both"/>
        <w:rPr>
          <w:lang w:eastAsia="en-GB"/>
        </w:rPr>
      </w:pPr>
    </w:p>
    <w:p w14:paraId="4AADA255" w14:textId="77777777" w:rsidR="008C1555" w:rsidRDefault="00264796" w:rsidP="008C1555">
      <w:pPr>
        <w:jc w:val="both"/>
        <w:rPr>
          <w:b/>
          <w:iCs/>
          <w:color w:val="BFBFBF" w:themeColor="background1" w:themeShade="BF"/>
          <w:sz w:val="40"/>
          <w:szCs w:val="40"/>
        </w:rPr>
      </w:pPr>
      <w:r w:rsidRPr="0052279F">
        <w:rPr>
          <w:b/>
          <w:iCs/>
          <w:color w:val="BFBFBF" w:themeColor="background1" w:themeShade="BF"/>
          <w:sz w:val="40"/>
          <w:szCs w:val="40"/>
        </w:rPr>
        <w:lastRenderedPageBreak/>
        <w:t>References</w:t>
      </w:r>
    </w:p>
    <w:p w14:paraId="4AADA256" w14:textId="77777777" w:rsidR="00F37397" w:rsidRPr="008C1555" w:rsidRDefault="00F37397" w:rsidP="008C1555">
      <w:pPr>
        <w:jc w:val="both"/>
        <w:rPr>
          <w:b/>
          <w:iCs/>
          <w:color w:val="BFBFBF" w:themeColor="background1" w:themeShade="BF"/>
          <w:sz w:val="40"/>
          <w:szCs w:val="40"/>
        </w:rPr>
      </w:pPr>
      <w:r w:rsidRPr="002573C8">
        <w:rPr>
          <w:sz w:val="24"/>
          <w:szCs w:val="24"/>
          <w:lang w:eastAsia="en-GB"/>
        </w:rPr>
        <w:br/>
      </w:r>
      <w:r w:rsidR="007D36B6" w:rsidRPr="002573C8">
        <w:t>P</w:t>
      </w:r>
      <w:r w:rsidR="00037068" w:rsidRPr="002573C8">
        <w:t>osition of</w:t>
      </w:r>
      <w:r w:rsidR="007D36B6" w:rsidRPr="002573C8">
        <w:t xml:space="preserve"> </w:t>
      </w:r>
      <w:r w:rsidR="00037068" w:rsidRPr="002573C8">
        <w:t>Part-Time Adult Educator</w:t>
      </w:r>
      <w:r w:rsidR="007D36B6" w:rsidRPr="002573C8">
        <w:t xml:space="preserve"> </w:t>
      </w:r>
      <w:r w:rsidR="00037068" w:rsidRPr="002573C8">
        <w:t>within the Directorate for Life-long Learning and Early School-Leavers</w:t>
      </w:r>
      <w:r w:rsidR="00264796" w:rsidRPr="002573C8">
        <w:t xml:space="preserve"> - Government Gazette nos. 19,562 dated 26/04/2016</w:t>
      </w:r>
    </w:p>
    <w:p w14:paraId="4AADA257" w14:textId="77777777" w:rsidR="007D36B6" w:rsidRPr="002573C8" w:rsidRDefault="007D36B6" w:rsidP="00640528">
      <w:pPr>
        <w:pStyle w:val="NoSpacing"/>
        <w:jc w:val="both"/>
        <w:rPr>
          <w:sz w:val="24"/>
          <w:szCs w:val="24"/>
        </w:rPr>
      </w:pPr>
      <w:r w:rsidRPr="002573C8">
        <w:rPr>
          <w:sz w:val="24"/>
          <w:szCs w:val="24"/>
        </w:rPr>
        <w:t>https://education.gov.mt/en/Documents/Vacancies/Position%20of%20Part-time%20Adult%20Educator%20Rolling%20EN.pdf</w:t>
      </w:r>
    </w:p>
    <w:p w14:paraId="4AADA258" w14:textId="77777777" w:rsidR="007D36B6" w:rsidRPr="002573C8" w:rsidRDefault="007D36B6" w:rsidP="00640528">
      <w:pPr>
        <w:pStyle w:val="NoSpacing"/>
        <w:jc w:val="both"/>
        <w:rPr>
          <w:sz w:val="24"/>
          <w:szCs w:val="24"/>
        </w:rPr>
      </w:pPr>
    </w:p>
    <w:p w14:paraId="4AADA259" w14:textId="77777777" w:rsidR="007D36B6" w:rsidRPr="002573C8" w:rsidRDefault="00037068" w:rsidP="00640528">
      <w:pPr>
        <w:pStyle w:val="NoSpacing"/>
        <w:jc w:val="both"/>
      </w:pPr>
      <w:r w:rsidRPr="002573C8">
        <w:t>Job Descriptions Handbook</w:t>
      </w:r>
      <w:r w:rsidR="007D36B6" w:rsidRPr="002573C8">
        <w:t xml:space="preserve"> </w:t>
      </w:r>
      <w:r w:rsidRPr="002573C8">
        <w:t>for Grades and Positions</w:t>
      </w:r>
      <w:r w:rsidR="007D36B6" w:rsidRPr="002573C8">
        <w:t xml:space="preserve"> </w:t>
      </w:r>
      <w:r w:rsidRPr="002573C8">
        <w:t>within the Directorate for Quality</w:t>
      </w:r>
      <w:r w:rsidR="007D36B6" w:rsidRPr="002573C8">
        <w:t xml:space="preserve"> </w:t>
      </w:r>
      <w:r w:rsidRPr="002573C8">
        <w:t>and Standards</w:t>
      </w:r>
      <w:r w:rsidR="007D36B6" w:rsidRPr="002573C8">
        <w:t xml:space="preserve"> </w:t>
      </w:r>
      <w:r w:rsidRPr="002573C8">
        <w:t>and the Directorate for Educational Services</w:t>
      </w:r>
    </w:p>
    <w:p w14:paraId="4AADA25A" w14:textId="77777777" w:rsidR="007D36B6" w:rsidRPr="002573C8" w:rsidRDefault="007D36B6" w:rsidP="00640528">
      <w:pPr>
        <w:pStyle w:val="NoSpacing"/>
        <w:jc w:val="both"/>
        <w:rPr>
          <w:sz w:val="24"/>
          <w:szCs w:val="24"/>
        </w:rPr>
      </w:pPr>
      <w:r w:rsidRPr="002573C8">
        <w:rPr>
          <w:sz w:val="24"/>
          <w:szCs w:val="24"/>
        </w:rPr>
        <w:t>https://education.gov.mt/en/resources/Documents/Policy%20Documents/HandbookOfJobDescriptions_for_grades.pdf</w:t>
      </w:r>
    </w:p>
    <w:p w14:paraId="4AADA25B" w14:textId="77777777" w:rsidR="007D36B6" w:rsidRPr="002573C8" w:rsidRDefault="007D36B6" w:rsidP="00640528">
      <w:pPr>
        <w:pStyle w:val="NoSpacing"/>
        <w:jc w:val="both"/>
        <w:rPr>
          <w:sz w:val="24"/>
          <w:szCs w:val="24"/>
        </w:rPr>
      </w:pPr>
    </w:p>
    <w:p w14:paraId="4AADA25C" w14:textId="77777777" w:rsidR="007D36B6" w:rsidRPr="002573C8" w:rsidRDefault="00037068" w:rsidP="00640528">
      <w:pPr>
        <w:pStyle w:val="NoSpacing"/>
        <w:jc w:val="both"/>
      </w:pPr>
      <w:r w:rsidRPr="002573C8">
        <w:t>Position of Supply Teacher in the Ministry for Education and Employment</w:t>
      </w:r>
    </w:p>
    <w:p w14:paraId="4AADA25D" w14:textId="77777777" w:rsidR="007D36B6" w:rsidRPr="002573C8" w:rsidRDefault="007D36B6" w:rsidP="00640528">
      <w:pPr>
        <w:pStyle w:val="NoSpacing"/>
        <w:jc w:val="both"/>
        <w:rPr>
          <w:sz w:val="24"/>
          <w:szCs w:val="24"/>
        </w:rPr>
      </w:pPr>
      <w:r w:rsidRPr="002573C8">
        <w:rPr>
          <w:sz w:val="24"/>
          <w:szCs w:val="24"/>
        </w:rPr>
        <w:t>https://education.gov.mt/en/Documents/Vacancies/Supply%20Teacher%20ENG%20%202016.pdf</w:t>
      </w:r>
    </w:p>
    <w:p w14:paraId="4AADA25E" w14:textId="77777777" w:rsidR="007D36B6" w:rsidRPr="002573C8" w:rsidRDefault="007D36B6" w:rsidP="00640528">
      <w:pPr>
        <w:pStyle w:val="NoSpacing"/>
        <w:jc w:val="both"/>
        <w:rPr>
          <w:sz w:val="24"/>
          <w:szCs w:val="24"/>
        </w:rPr>
      </w:pPr>
    </w:p>
    <w:p w14:paraId="4AADA25F" w14:textId="77777777" w:rsidR="00264796" w:rsidRPr="002573C8" w:rsidRDefault="00264796" w:rsidP="00640528">
      <w:pPr>
        <w:pStyle w:val="NoSpacing"/>
        <w:jc w:val="both"/>
      </w:pPr>
      <w:r w:rsidRPr="002573C8">
        <w:t xml:space="preserve">Manual of Procedures for Provider Licensing and Programme Accreditation Version 1.1 | June 2016 – National Commission for </w:t>
      </w:r>
      <w:r w:rsidR="00525E38" w:rsidRPr="002573C8">
        <w:t>Further and Higher Education, Malta</w:t>
      </w:r>
    </w:p>
    <w:p w14:paraId="4AADA260" w14:textId="77777777" w:rsidR="00264796" w:rsidRPr="002573C8" w:rsidRDefault="00A830F9" w:rsidP="00640528">
      <w:pPr>
        <w:pStyle w:val="NoSpacing"/>
        <w:jc w:val="both"/>
        <w:rPr>
          <w:sz w:val="24"/>
          <w:szCs w:val="24"/>
        </w:rPr>
      </w:pPr>
      <w:r w:rsidRPr="002573C8">
        <w:rPr>
          <w:sz w:val="24"/>
          <w:szCs w:val="24"/>
        </w:rPr>
        <w:t>https://ncfhe.gov.mt/en/resources/Documents/Publications/Accreditation/Accreditation%20Manual%20Version%201.1.pdf</w:t>
      </w:r>
    </w:p>
    <w:p w14:paraId="4AADA261" w14:textId="77777777" w:rsidR="00A830F9" w:rsidRPr="002573C8" w:rsidRDefault="00A830F9" w:rsidP="00640528">
      <w:pPr>
        <w:pStyle w:val="NoSpacing"/>
        <w:jc w:val="both"/>
        <w:rPr>
          <w:sz w:val="24"/>
          <w:szCs w:val="24"/>
        </w:rPr>
      </w:pPr>
    </w:p>
    <w:p w14:paraId="4AADA262" w14:textId="77777777" w:rsidR="00A830F9" w:rsidRPr="002573C8" w:rsidRDefault="00A830F9" w:rsidP="00640528">
      <w:pPr>
        <w:pStyle w:val="NoSpacing"/>
        <w:jc w:val="both"/>
        <w:rPr>
          <w:sz w:val="24"/>
          <w:szCs w:val="24"/>
        </w:rPr>
      </w:pPr>
    </w:p>
    <w:p w14:paraId="4AADA263" w14:textId="77777777" w:rsidR="00A830F9" w:rsidRPr="002573C8" w:rsidRDefault="00A830F9" w:rsidP="00640528">
      <w:pPr>
        <w:pStyle w:val="NoSpacing"/>
        <w:jc w:val="both"/>
        <w:rPr>
          <w:sz w:val="24"/>
          <w:szCs w:val="24"/>
        </w:rPr>
      </w:pPr>
    </w:p>
    <w:p w14:paraId="4AADA264" w14:textId="77777777" w:rsidR="00A830F9" w:rsidRPr="002573C8" w:rsidRDefault="00A830F9" w:rsidP="00640528">
      <w:pPr>
        <w:pStyle w:val="NoSpacing"/>
        <w:jc w:val="both"/>
        <w:rPr>
          <w:sz w:val="24"/>
          <w:szCs w:val="24"/>
        </w:rPr>
      </w:pPr>
    </w:p>
    <w:p w14:paraId="4AADA265" w14:textId="77777777" w:rsidR="00A830F9" w:rsidRPr="002573C8" w:rsidRDefault="00A830F9" w:rsidP="00640528">
      <w:pPr>
        <w:pStyle w:val="NoSpacing"/>
        <w:jc w:val="both"/>
        <w:rPr>
          <w:sz w:val="24"/>
          <w:szCs w:val="24"/>
        </w:rPr>
      </w:pPr>
    </w:p>
    <w:p w14:paraId="4AADA266" w14:textId="77777777" w:rsidR="00A830F9" w:rsidRPr="002573C8" w:rsidRDefault="00A830F9" w:rsidP="00640528">
      <w:pPr>
        <w:pStyle w:val="NoSpacing"/>
        <w:jc w:val="both"/>
        <w:rPr>
          <w:sz w:val="24"/>
          <w:szCs w:val="24"/>
        </w:rPr>
      </w:pPr>
    </w:p>
    <w:p w14:paraId="4AADA267" w14:textId="77777777" w:rsidR="00A830F9" w:rsidRPr="002573C8" w:rsidRDefault="00A830F9" w:rsidP="00640528">
      <w:pPr>
        <w:pStyle w:val="NoSpacing"/>
        <w:jc w:val="both"/>
        <w:rPr>
          <w:sz w:val="24"/>
          <w:szCs w:val="24"/>
        </w:rPr>
      </w:pPr>
    </w:p>
    <w:p w14:paraId="4AADA268" w14:textId="77777777" w:rsidR="00A830F9" w:rsidRPr="002573C8" w:rsidRDefault="00A830F9" w:rsidP="00640528">
      <w:pPr>
        <w:pStyle w:val="NoSpacing"/>
        <w:jc w:val="both"/>
        <w:rPr>
          <w:sz w:val="24"/>
          <w:szCs w:val="24"/>
        </w:rPr>
      </w:pPr>
    </w:p>
    <w:p w14:paraId="4AADA269" w14:textId="77777777" w:rsidR="00A830F9" w:rsidRPr="002573C8" w:rsidRDefault="00A830F9" w:rsidP="00640528">
      <w:pPr>
        <w:pStyle w:val="NoSpacing"/>
        <w:jc w:val="both"/>
        <w:rPr>
          <w:sz w:val="24"/>
          <w:szCs w:val="24"/>
        </w:rPr>
      </w:pPr>
    </w:p>
    <w:p w14:paraId="4AADA26A" w14:textId="77777777" w:rsidR="00A830F9" w:rsidRPr="002573C8" w:rsidRDefault="00A830F9" w:rsidP="00640528">
      <w:pPr>
        <w:pStyle w:val="NoSpacing"/>
        <w:jc w:val="both"/>
        <w:rPr>
          <w:sz w:val="24"/>
          <w:szCs w:val="24"/>
        </w:rPr>
      </w:pPr>
    </w:p>
    <w:p w14:paraId="4AADA26B" w14:textId="77777777" w:rsidR="00A830F9" w:rsidRPr="002573C8" w:rsidRDefault="00A830F9" w:rsidP="00640528">
      <w:pPr>
        <w:pStyle w:val="NoSpacing"/>
        <w:jc w:val="both"/>
        <w:rPr>
          <w:sz w:val="24"/>
          <w:szCs w:val="24"/>
        </w:rPr>
      </w:pPr>
    </w:p>
    <w:p w14:paraId="4AADA26C" w14:textId="77777777" w:rsidR="00A830F9" w:rsidRPr="002573C8" w:rsidRDefault="00A830F9" w:rsidP="00640528">
      <w:pPr>
        <w:pStyle w:val="NoSpacing"/>
        <w:jc w:val="both"/>
        <w:rPr>
          <w:sz w:val="24"/>
          <w:szCs w:val="24"/>
        </w:rPr>
      </w:pPr>
    </w:p>
    <w:p w14:paraId="4AADA26D" w14:textId="77777777" w:rsidR="00A830F9" w:rsidRPr="002573C8" w:rsidRDefault="00A830F9" w:rsidP="00640528">
      <w:pPr>
        <w:pStyle w:val="NoSpacing"/>
        <w:jc w:val="both"/>
        <w:rPr>
          <w:sz w:val="24"/>
          <w:szCs w:val="24"/>
        </w:rPr>
      </w:pPr>
    </w:p>
    <w:p w14:paraId="4AADA26E" w14:textId="77777777" w:rsidR="00A830F9" w:rsidRPr="002573C8" w:rsidRDefault="00A830F9" w:rsidP="00640528">
      <w:pPr>
        <w:pStyle w:val="NoSpacing"/>
        <w:jc w:val="both"/>
        <w:rPr>
          <w:sz w:val="24"/>
          <w:szCs w:val="24"/>
        </w:rPr>
      </w:pPr>
    </w:p>
    <w:p w14:paraId="4AADA26F" w14:textId="77777777" w:rsidR="00A830F9" w:rsidRDefault="00A830F9" w:rsidP="00640528">
      <w:pPr>
        <w:pStyle w:val="NoSpacing"/>
        <w:jc w:val="both"/>
        <w:rPr>
          <w:sz w:val="24"/>
          <w:szCs w:val="24"/>
        </w:rPr>
      </w:pPr>
    </w:p>
    <w:p w14:paraId="4AADA270" w14:textId="77777777" w:rsidR="00A0290F" w:rsidRDefault="00A0290F" w:rsidP="00640528">
      <w:pPr>
        <w:pStyle w:val="NoSpacing"/>
        <w:jc w:val="both"/>
        <w:rPr>
          <w:sz w:val="24"/>
          <w:szCs w:val="24"/>
        </w:rPr>
      </w:pPr>
    </w:p>
    <w:p w14:paraId="4AADA271" w14:textId="77777777" w:rsidR="00A0290F" w:rsidRDefault="00A0290F" w:rsidP="00640528">
      <w:pPr>
        <w:pStyle w:val="NoSpacing"/>
        <w:jc w:val="both"/>
        <w:rPr>
          <w:sz w:val="24"/>
          <w:szCs w:val="24"/>
        </w:rPr>
      </w:pPr>
    </w:p>
    <w:p w14:paraId="4AADA272" w14:textId="77777777" w:rsidR="00A0290F" w:rsidRDefault="00A0290F" w:rsidP="00640528">
      <w:pPr>
        <w:pStyle w:val="NoSpacing"/>
        <w:jc w:val="both"/>
        <w:rPr>
          <w:sz w:val="24"/>
          <w:szCs w:val="24"/>
        </w:rPr>
      </w:pPr>
    </w:p>
    <w:p w14:paraId="4AADA273" w14:textId="77777777" w:rsidR="00A0290F" w:rsidRDefault="00A0290F" w:rsidP="00640528">
      <w:pPr>
        <w:pStyle w:val="NoSpacing"/>
        <w:jc w:val="both"/>
        <w:rPr>
          <w:sz w:val="24"/>
          <w:szCs w:val="24"/>
        </w:rPr>
      </w:pPr>
    </w:p>
    <w:p w14:paraId="4AADA274" w14:textId="77777777" w:rsidR="00A0290F" w:rsidRDefault="00A0290F" w:rsidP="00640528">
      <w:pPr>
        <w:pStyle w:val="NoSpacing"/>
        <w:jc w:val="both"/>
        <w:rPr>
          <w:sz w:val="24"/>
          <w:szCs w:val="24"/>
        </w:rPr>
      </w:pPr>
    </w:p>
    <w:p w14:paraId="4AADA275" w14:textId="77777777" w:rsidR="00A0290F" w:rsidRDefault="00A0290F" w:rsidP="00640528">
      <w:pPr>
        <w:pStyle w:val="NoSpacing"/>
        <w:jc w:val="both"/>
        <w:rPr>
          <w:sz w:val="24"/>
          <w:szCs w:val="24"/>
        </w:rPr>
      </w:pPr>
    </w:p>
    <w:p w14:paraId="4AADA276" w14:textId="77777777" w:rsidR="00A0290F" w:rsidRDefault="00A0290F" w:rsidP="00640528">
      <w:pPr>
        <w:pStyle w:val="NoSpacing"/>
        <w:jc w:val="both"/>
        <w:rPr>
          <w:sz w:val="24"/>
          <w:szCs w:val="24"/>
        </w:rPr>
      </w:pPr>
    </w:p>
    <w:p w14:paraId="4AADA277" w14:textId="77777777" w:rsidR="00A0290F" w:rsidRDefault="00A0290F" w:rsidP="00640528">
      <w:pPr>
        <w:pStyle w:val="NoSpacing"/>
        <w:jc w:val="both"/>
        <w:rPr>
          <w:sz w:val="24"/>
          <w:szCs w:val="24"/>
        </w:rPr>
      </w:pPr>
    </w:p>
    <w:p w14:paraId="4AADA278" w14:textId="77777777" w:rsidR="00A0290F" w:rsidRDefault="00A0290F" w:rsidP="00640528">
      <w:pPr>
        <w:pStyle w:val="NoSpacing"/>
        <w:jc w:val="both"/>
        <w:rPr>
          <w:sz w:val="24"/>
          <w:szCs w:val="24"/>
        </w:rPr>
      </w:pPr>
    </w:p>
    <w:p w14:paraId="4AADA279" w14:textId="77777777" w:rsidR="00A0290F" w:rsidRDefault="00A0290F" w:rsidP="00640528">
      <w:pPr>
        <w:pStyle w:val="NoSpacing"/>
        <w:jc w:val="both"/>
        <w:rPr>
          <w:sz w:val="24"/>
          <w:szCs w:val="24"/>
        </w:rPr>
      </w:pPr>
    </w:p>
    <w:p w14:paraId="4AADA27A" w14:textId="77777777" w:rsidR="00A0290F" w:rsidRPr="002573C8" w:rsidRDefault="00000000" w:rsidP="00640528">
      <w:pPr>
        <w:pStyle w:val="NoSpacing"/>
        <w:jc w:val="both"/>
        <w:rPr>
          <w:sz w:val="24"/>
          <w:szCs w:val="24"/>
        </w:rPr>
      </w:pPr>
      <w:r>
        <w:rPr>
          <w:noProof/>
          <w:sz w:val="24"/>
          <w:szCs w:val="24"/>
          <w:lang w:eastAsia="en-GB"/>
        </w:rPr>
        <w:lastRenderedPageBreak/>
        <w:pict w14:anchorId="4AADA292">
          <v:rect id="_x0000_s2062" style="position:absolute;left:0;text-align:left;margin-left:-49pt;margin-top:-43.3pt;width:570.05pt;height:69.1pt;z-index:251671552" stroked="f"/>
        </w:pict>
      </w:r>
    </w:p>
    <w:p w14:paraId="4AADA27B" w14:textId="77777777" w:rsidR="00A830F9" w:rsidRPr="002573C8" w:rsidRDefault="00A830F9" w:rsidP="00640528">
      <w:pPr>
        <w:pStyle w:val="NoSpacing"/>
        <w:jc w:val="both"/>
        <w:rPr>
          <w:sz w:val="24"/>
          <w:szCs w:val="24"/>
        </w:rPr>
      </w:pPr>
    </w:p>
    <w:p w14:paraId="4AADA27C" w14:textId="77777777" w:rsidR="00A830F9" w:rsidRPr="002573C8" w:rsidRDefault="00A830F9" w:rsidP="00640528">
      <w:pPr>
        <w:pStyle w:val="NoSpacing"/>
        <w:jc w:val="both"/>
        <w:rPr>
          <w:sz w:val="24"/>
          <w:szCs w:val="24"/>
        </w:rPr>
      </w:pPr>
    </w:p>
    <w:p w14:paraId="4AADA27D" w14:textId="77777777" w:rsidR="00A830F9" w:rsidRPr="002573C8" w:rsidRDefault="00000000" w:rsidP="00640528">
      <w:pPr>
        <w:pStyle w:val="NoSpacing"/>
        <w:jc w:val="both"/>
        <w:rPr>
          <w:sz w:val="24"/>
          <w:szCs w:val="24"/>
        </w:rPr>
      </w:pPr>
      <w:r>
        <w:rPr>
          <w:noProof/>
          <w:sz w:val="24"/>
          <w:szCs w:val="24"/>
          <w:lang w:eastAsia="en-GB"/>
        </w:rPr>
        <w:pict w14:anchorId="4AADA293">
          <v:rect id="_x0000_s2065" style="position:absolute;left:0;text-align:left;margin-left:-12.7pt;margin-top:-41.2pt;width:500.75pt;height:60.2pt;z-index:251676672" stroked="f"/>
        </w:pict>
      </w:r>
    </w:p>
    <w:p w14:paraId="4AADA27E" w14:textId="77777777" w:rsidR="00A830F9" w:rsidRPr="002573C8" w:rsidRDefault="00A830F9" w:rsidP="00640528">
      <w:pPr>
        <w:pStyle w:val="NoSpacing"/>
        <w:jc w:val="both"/>
        <w:rPr>
          <w:sz w:val="24"/>
          <w:szCs w:val="24"/>
        </w:rPr>
      </w:pPr>
    </w:p>
    <w:p w14:paraId="4AADA27F" w14:textId="77777777" w:rsidR="00A830F9" w:rsidRPr="002573C8" w:rsidRDefault="00A830F9" w:rsidP="00640528">
      <w:pPr>
        <w:pStyle w:val="NoSpacing"/>
        <w:jc w:val="both"/>
        <w:rPr>
          <w:sz w:val="24"/>
          <w:szCs w:val="24"/>
        </w:rPr>
      </w:pPr>
    </w:p>
    <w:p w14:paraId="4AADA280" w14:textId="77777777" w:rsidR="00A830F9" w:rsidRPr="002573C8" w:rsidRDefault="00A830F9" w:rsidP="00640528">
      <w:pPr>
        <w:pStyle w:val="NoSpacing"/>
        <w:jc w:val="both"/>
        <w:rPr>
          <w:sz w:val="24"/>
          <w:szCs w:val="24"/>
        </w:rPr>
      </w:pPr>
    </w:p>
    <w:p w14:paraId="4AADA281" w14:textId="77777777" w:rsidR="00A830F9" w:rsidRPr="002573C8" w:rsidRDefault="00A830F9" w:rsidP="00640528">
      <w:pPr>
        <w:pStyle w:val="NoSpacing"/>
        <w:jc w:val="both"/>
        <w:rPr>
          <w:sz w:val="24"/>
          <w:szCs w:val="24"/>
        </w:rPr>
      </w:pPr>
    </w:p>
    <w:p w14:paraId="4AADA282" w14:textId="77777777" w:rsidR="00A830F9" w:rsidRPr="002573C8" w:rsidRDefault="00A830F9" w:rsidP="00640528">
      <w:pPr>
        <w:pStyle w:val="NoSpacing"/>
        <w:jc w:val="both"/>
        <w:rPr>
          <w:sz w:val="24"/>
          <w:szCs w:val="24"/>
        </w:rPr>
      </w:pPr>
    </w:p>
    <w:p w14:paraId="4AADA283" w14:textId="77777777" w:rsidR="00A830F9" w:rsidRPr="002573C8" w:rsidRDefault="00A830F9" w:rsidP="00640528">
      <w:pPr>
        <w:pStyle w:val="NoSpacing"/>
        <w:jc w:val="both"/>
        <w:rPr>
          <w:sz w:val="24"/>
          <w:szCs w:val="24"/>
        </w:rPr>
      </w:pPr>
    </w:p>
    <w:p w14:paraId="4AADA284" w14:textId="77777777" w:rsidR="00A830F9" w:rsidRPr="002573C8" w:rsidRDefault="00000000" w:rsidP="00640528">
      <w:pPr>
        <w:pStyle w:val="NoSpacing"/>
        <w:jc w:val="both"/>
        <w:rPr>
          <w:sz w:val="24"/>
          <w:szCs w:val="24"/>
        </w:rPr>
      </w:pPr>
      <w:r>
        <w:rPr>
          <w:noProof/>
          <w:sz w:val="24"/>
          <w:szCs w:val="24"/>
          <w:lang w:eastAsia="en-GB"/>
        </w:rPr>
        <w:pict w14:anchorId="4AADA294">
          <v:rect id="_x0000_s2059" style="position:absolute;left:0;text-align:left;margin-left:-17pt;margin-top:680.2pt;width:494.3pt;height:48.55pt;z-index:251668480" stroked="f"/>
        </w:pict>
      </w:r>
      <w:r>
        <w:rPr>
          <w:noProof/>
          <w:sz w:val="24"/>
          <w:szCs w:val="24"/>
          <w:lang w:eastAsia="en-GB"/>
        </w:rPr>
        <w:pict w14:anchorId="4AADA295">
          <v:rect id="_x0000_s2058" style="position:absolute;left:0;text-align:left;margin-left:-17pt;margin-top:-36.4pt;width:494.3pt;height:48.55pt;z-index:251667456" stroked="f"/>
        </w:pict>
      </w:r>
    </w:p>
    <w:sectPr w:rsidR="00A830F9" w:rsidRPr="002573C8" w:rsidSect="00A0290F">
      <w:headerReference w:type="even" r:id="rId12"/>
      <w:headerReference w:type="default" r:id="rId13"/>
      <w:footerReference w:type="even" r:id="rId14"/>
      <w:footerReference w:type="default" r:id="rId15"/>
      <w:pgSz w:w="11906" w:h="16838"/>
      <w:pgMar w:top="1440" w:right="1440" w:bottom="1440" w:left="1440" w:header="708" w:footer="708" w:gutter="0"/>
      <w:pgNumType w:start="15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447B6" w14:textId="77777777" w:rsidR="00C542CA" w:rsidRDefault="00C542CA" w:rsidP="001771CA">
      <w:pPr>
        <w:spacing w:after="0" w:line="240" w:lineRule="auto"/>
      </w:pPr>
      <w:r>
        <w:separator/>
      </w:r>
    </w:p>
  </w:endnote>
  <w:endnote w:type="continuationSeparator" w:id="0">
    <w:p w14:paraId="505C38C6" w14:textId="77777777" w:rsidR="00C542CA" w:rsidRDefault="00C542CA" w:rsidP="00177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26"/>
      <w:gridCol w:w="8330"/>
    </w:tblGrid>
    <w:tr w:rsidR="008F0D34" w14:paraId="4AADA2A3" w14:textId="77777777">
      <w:tc>
        <w:tcPr>
          <w:tcW w:w="500" w:type="pct"/>
          <w:tcBorders>
            <w:top w:val="single" w:sz="4" w:space="0" w:color="943634" w:themeColor="accent2" w:themeShade="BF"/>
          </w:tcBorders>
          <w:shd w:val="clear" w:color="auto" w:fill="943634" w:themeFill="accent2" w:themeFillShade="BF"/>
        </w:tcPr>
        <w:p w14:paraId="4AADA2A1" w14:textId="77777777" w:rsidR="008F0D34" w:rsidRDefault="00B0244A">
          <w:pPr>
            <w:pStyle w:val="Footer"/>
            <w:jc w:val="right"/>
            <w:rPr>
              <w:b/>
              <w:color w:val="FFFFFF" w:themeColor="background1"/>
            </w:rPr>
          </w:pPr>
          <w:r>
            <w:fldChar w:fldCharType="begin"/>
          </w:r>
          <w:r>
            <w:instrText xml:space="preserve"> PAGE   \* MERGEFORMAT </w:instrText>
          </w:r>
          <w:r>
            <w:fldChar w:fldCharType="separate"/>
          </w:r>
          <w:r w:rsidR="00E876C8" w:rsidRPr="00E876C8">
            <w:rPr>
              <w:noProof/>
              <w:color w:val="FFFFFF" w:themeColor="background1"/>
            </w:rPr>
            <w:t>156</w:t>
          </w:r>
          <w:r>
            <w:rPr>
              <w:noProof/>
              <w:color w:val="FFFFFF" w:themeColor="background1"/>
            </w:rPr>
            <w:fldChar w:fldCharType="end"/>
          </w:r>
        </w:p>
      </w:tc>
      <w:tc>
        <w:tcPr>
          <w:tcW w:w="4500" w:type="pct"/>
          <w:tcBorders>
            <w:top w:val="single" w:sz="4" w:space="0" w:color="auto"/>
          </w:tcBorders>
        </w:tcPr>
        <w:p w14:paraId="4AADA2A2" w14:textId="77777777" w:rsidR="008F0D34" w:rsidRDefault="008F0D34" w:rsidP="008F0D34">
          <w:pPr>
            <w:pStyle w:val="Footer"/>
          </w:pPr>
        </w:p>
      </w:tc>
    </w:tr>
  </w:tbl>
  <w:p w14:paraId="4AADA2A4" w14:textId="77777777" w:rsidR="001771CA" w:rsidRDefault="00177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330"/>
      <w:gridCol w:w="926"/>
    </w:tblGrid>
    <w:tr w:rsidR="001771CA" w14:paraId="4AADA2A7" w14:textId="77777777">
      <w:tc>
        <w:tcPr>
          <w:tcW w:w="4500" w:type="pct"/>
          <w:tcBorders>
            <w:top w:val="single" w:sz="4" w:space="0" w:color="000000" w:themeColor="text1"/>
          </w:tcBorders>
        </w:tcPr>
        <w:p w14:paraId="4AADA2A5" w14:textId="77777777" w:rsidR="001771CA" w:rsidRDefault="001771CA" w:rsidP="001771CA">
          <w:pPr>
            <w:pStyle w:val="Footer"/>
            <w:jc w:val="right"/>
          </w:pPr>
        </w:p>
      </w:tc>
      <w:tc>
        <w:tcPr>
          <w:tcW w:w="500" w:type="pct"/>
          <w:tcBorders>
            <w:top w:val="single" w:sz="4" w:space="0" w:color="C0504D" w:themeColor="accent2"/>
          </w:tcBorders>
          <w:shd w:val="clear" w:color="auto" w:fill="943634" w:themeFill="accent2" w:themeFillShade="BF"/>
        </w:tcPr>
        <w:p w14:paraId="4AADA2A6" w14:textId="77777777" w:rsidR="001771CA" w:rsidRDefault="00B0244A">
          <w:pPr>
            <w:pStyle w:val="Header"/>
            <w:rPr>
              <w:color w:val="FFFFFF" w:themeColor="background1"/>
            </w:rPr>
          </w:pPr>
          <w:r>
            <w:fldChar w:fldCharType="begin"/>
          </w:r>
          <w:r>
            <w:instrText xml:space="preserve"> PAGE   \* MERGEFORMAT </w:instrText>
          </w:r>
          <w:r>
            <w:fldChar w:fldCharType="separate"/>
          </w:r>
          <w:r w:rsidR="00E876C8" w:rsidRPr="00E876C8">
            <w:rPr>
              <w:noProof/>
              <w:color w:val="FFFFFF" w:themeColor="background1"/>
            </w:rPr>
            <w:t>155</w:t>
          </w:r>
          <w:r>
            <w:rPr>
              <w:noProof/>
              <w:color w:val="FFFFFF" w:themeColor="background1"/>
            </w:rPr>
            <w:fldChar w:fldCharType="end"/>
          </w:r>
        </w:p>
      </w:tc>
    </w:tr>
  </w:tbl>
  <w:p w14:paraId="4AADA2A8" w14:textId="77777777" w:rsidR="001771CA" w:rsidRDefault="00177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81AA1" w14:textId="77777777" w:rsidR="00C542CA" w:rsidRDefault="00C542CA" w:rsidP="001771CA">
      <w:pPr>
        <w:spacing w:after="0" w:line="240" w:lineRule="auto"/>
      </w:pPr>
      <w:r>
        <w:separator/>
      </w:r>
    </w:p>
  </w:footnote>
  <w:footnote w:type="continuationSeparator" w:id="0">
    <w:p w14:paraId="3ADC0265" w14:textId="77777777" w:rsidR="00C542CA" w:rsidRDefault="00C542CA" w:rsidP="00177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0" w:type="pct"/>
      <w:tblCellMar>
        <w:top w:w="72" w:type="dxa"/>
        <w:left w:w="115" w:type="dxa"/>
        <w:bottom w:w="72" w:type="dxa"/>
        <w:right w:w="115" w:type="dxa"/>
      </w:tblCellMar>
      <w:tblLook w:val="04A0" w:firstRow="1" w:lastRow="0" w:firstColumn="1" w:lastColumn="0" w:noHBand="0" w:noVBand="1"/>
    </w:tblPr>
    <w:tblGrid>
      <w:gridCol w:w="9089"/>
    </w:tblGrid>
    <w:tr w:rsidR="00A830F9" w14:paraId="4AADA29B" w14:textId="77777777" w:rsidTr="00A830F9">
      <w:trPr>
        <w:trHeight w:val="212"/>
      </w:trPr>
      <w:tc>
        <w:tcPr>
          <w:tcW w:w="5000" w:type="pct"/>
          <w:tcBorders>
            <w:bottom w:val="single" w:sz="4" w:space="0" w:color="auto"/>
          </w:tcBorders>
          <w:vAlign w:val="bottom"/>
        </w:tcPr>
        <w:p w14:paraId="4AADA29A" w14:textId="77777777" w:rsidR="00A830F9" w:rsidRPr="006327BD" w:rsidRDefault="006327BD">
          <w:pPr>
            <w:pStyle w:val="Header"/>
            <w:rPr>
              <w:b/>
              <w:bCs/>
              <w:color w:val="A6A6A6" w:themeColor="background1" w:themeShade="A6"/>
              <w:sz w:val="24"/>
              <w:szCs w:val="24"/>
            </w:rPr>
          </w:pPr>
          <w:r>
            <w:rPr>
              <w:b/>
              <w:bCs/>
              <w:color w:val="A6A6A6" w:themeColor="background1" w:themeShade="A6"/>
              <w:sz w:val="24"/>
              <w:szCs w:val="24"/>
            </w:rPr>
            <w:t>Medina Foundation for Music</w:t>
          </w:r>
        </w:p>
      </w:tc>
    </w:tr>
  </w:tbl>
  <w:p w14:paraId="4AADA29C" w14:textId="77777777" w:rsidR="001771CA" w:rsidRDefault="001771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6479"/>
      <w:gridCol w:w="2777"/>
    </w:tblGrid>
    <w:tr w:rsidR="001771CA" w14:paraId="4AADA29F" w14:textId="77777777">
      <w:tc>
        <w:tcPr>
          <w:tcW w:w="3500" w:type="pct"/>
          <w:tcBorders>
            <w:bottom w:val="single" w:sz="4" w:space="0" w:color="auto"/>
          </w:tcBorders>
          <w:vAlign w:val="bottom"/>
        </w:tcPr>
        <w:p w14:paraId="4AADA29D" w14:textId="77777777" w:rsidR="001771CA" w:rsidRPr="006F1310" w:rsidRDefault="00DF184E" w:rsidP="00570153">
          <w:pPr>
            <w:pStyle w:val="Header"/>
            <w:jc w:val="right"/>
            <w:rPr>
              <w:bCs/>
              <w:noProof/>
              <w:color w:val="808080" w:themeColor="background1" w:themeShade="80"/>
              <w:sz w:val="24"/>
              <w:szCs w:val="24"/>
            </w:rPr>
          </w:pPr>
          <w:r>
            <w:rPr>
              <w:bCs/>
              <w:noProof/>
              <w:color w:val="808080" w:themeColor="background1" w:themeShade="80"/>
              <w:sz w:val="24"/>
              <w:szCs w:val="24"/>
            </w:rPr>
            <w:t>Teacher Eligibility Policy</w:t>
          </w:r>
        </w:p>
      </w:tc>
      <w:tc>
        <w:tcPr>
          <w:tcW w:w="1500" w:type="pct"/>
          <w:tcBorders>
            <w:bottom w:val="single" w:sz="4" w:space="0" w:color="943634" w:themeColor="accent2" w:themeShade="BF"/>
          </w:tcBorders>
          <w:shd w:val="clear" w:color="auto" w:fill="943634" w:themeFill="accent2" w:themeFillShade="BF"/>
          <w:vAlign w:val="bottom"/>
        </w:tcPr>
        <w:p w14:paraId="4AADA29E" w14:textId="77777777" w:rsidR="001771CA" w:rsidRPr="00DF184E" w:rsidRDefault="001822AB" w:rsidP="00570153">
          <w:pPr>
            <w:pStyle w:val="Header"/>
            <w:rPr>
              <w:color w:val="FFFFFF" w:themeColor="background1"/>
            </w:rPr>
          </w:pPr>
          <w:r>
            <w:rPr>
              <w:color w:val="FFFFFF" w:themeColor="background1"/>
            </w:rPr>
            <w:t>Version 1: 07/2018</w:t>
          </w:r>
        </w:p>
      </w:tc>
    </w:tr>
  </w:tbl>
  <w:p w14:paraId="4AADA2A0" w14:textId="77777777" w:rsidR="001771CA" w:rsidRDefault="00177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68B"/>
    <w:multiLevelType w:val="hybridMultilevel"/>
    <w:tmpl w:val="33AEF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73253"/>
    <w:multiLevelType w:val="hybridMultilevel"/>
    <w:tmpl w:val="986022B6"/>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D32E38"/>
    <w:multiLevelType w:val="multilevel"/>
    <w:tmpl w:val="2C0A0298"/>
    <w:lvl w:ilvl="0">
      <w:start w:val="1"/>
      <w:numFmt w:val="lowerRoman"/>
      <w:lvlText w:val="a) (%1) "/>
      <w:lvlJc w:val="center"/>
      <w:pPr>
        <w:ind w:left="720" w:hanging="363"/>
      </w:pPr>
      <w:rPr>
        <w:rFonts w:hint="default"/>
      </w:rPr>
    </w:lvl>
    <w:lvl w:ilvl="1">
      <w:start w:val="1"/>
      <w:numFmt w:val="lowerRoman"/>
      <w:lvlText w:val="(i%2)"/>
      <w:lvlJc w:val="center"/>
      <w:pPr>
        <w:ind w:left="1440" w:hanging="363"/>
      </w:pPr>
      <w:rPr>
        <w:rFonts w:hint="default"/>
      </w:rPr>
    </w:lvl>
    <w:lvl w:ilvl="2">
      <w:start w:val="1"/>
      <w:numFmt w:val="lowerRoman"/>
      <w:lvlText w:val="(ii%3)"/>
      <w:lvlJc w:val="center"/>
      <w:pPr>
        <w:ind w:left="2160" w:hanging="363"/>
      </w:pPr>
      <w:rPr>
        <w:rFonts w:hint="default"/>
      </w:rPr>
    </w:lvl>
    <w:lvl w:ilvl="3">
      <w:start w:val="1"/>
      <w:numFmt w:val="lowerRoman"/>
      <w:lvlText w:val="(iii%4)"/>
      <w:lvlJc w:val="center"/>
      <w:pPr>
        <w:ind w:left="2880" w:hanging="363"/>
      </w:pPr>
      <w:rPr>
        <w:rFonts w:hint="default"/>
      </w:rPr>
    </w:lvl>
    <w:lvl w:ilvl="4">
      <w:start w:val="1"/>
      <w:numFmt w:val="lowerRoman"/>
      <w:lvlText w:val="(%5v)"/>
      <w:lvlJc w:val="center"/>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 w15:restartNumberingAfterBreak="0">
    <w:nsid w:val="10402D2A"/>
    <w:multiLevelType w:val="hybridMultilevel"/>
    <w:tmpl w:val="AB30D44A"/>
    <w:lvl w:ilvl="0" w:tplc="35D81A0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D44B82"/>
    <w:multiLevelType w:val="hybridMultilevel"/>
    <w:tmpl w:val="738C61DA"/>
    <w:lvl w:ilvl="0" w:tplc="832A6C90">
      <w:start w:val="1"/>
      <w:numFmt w:val="decimal"/>
      <w:lvlText w:val="2.%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1F632F"/>
    <w:multiLevelType w:val="hybridMultilevel"/>
    <w:tmpl w:val="9CCA5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080C53"/>
    <w:multiLevelType w:val="hybridMultilevel"/>
    <w:tmpl w:val="EB7CBA7E"/>
    <w:lvl w:ilvl="0" w:tplc="08090009">
      <w:start w:val="1"/>
      <w:numFmt w:val="bullet"/>
      <w:lvlText w:val=""/>
      <w:lvlJc w:val="left"/>
      <w:pPr>
        <w:ind w:left="720" w:hanging="360"/>
      </w:pPr>
      <w:rPr>
        <w:rFonts w:ascii="Wingdings" w:hAnsi="Wingdings" w:hint="default"/>
      </w:rPr>
    </w:lvl>
    <w:lvl w:ilvl="1" w:tplc="08090013">
      <w:start w:val="1"/>
      <w:numFmt w:val="upp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500510"/>
    <w:multiLevelType w:val="hybridMultilevel"/>
    <w:tmpl w:val="A82647CC"/>
    <w:lvl w:ilvl="0" w:tplc="001CA12E">
      <w:start w:val="1"/>
      <w:numFmt w:val="lowerRoman"/>
      <w:lvlText w:val="   (%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EF0F17"/>
    <w:multiLevelType w:val="hybridMultilevel"/>
    <w:tmpl w:val="9DA2E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AD10B7"/>
    <w:multiLevelType w:val="hybridMultilevel"/>
    <w:tmpl w:val="8410C772"/>
    <w:lvl w:ilvl="0" w:tplc="928ED262">
      <w:start w:val="1"/>
      <w:numFmt w:val="lowerRoman"/>
      <w:lvlText w:val="d) (%1) "/>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490338"/>
    <w:multiLevelType w:val="hybridMultilevel"/>
    <w:tmpl w:val="D722CAB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2E084F"/>
    <w:multiLevelType w:val="hybridMultilevel"/>
    <w:tmpl w:val="F1ACFC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18E5385"/>
    <w:multiLevelType w:val="hybridMultilevel"/>
    <w:tmpl w:val="C53872FC"/>
    <w:lvl w:ilvl="0" w:tplc="08090013">
      <w:start w:val="1"/>
      <w:numFmt w:val="upperRoman"/>
      <w:lvlText w:val="%1."/>
      <w:lvlJc w:val="right"/>
      <w:pPr>
        <w:ind w:left="720" w:hanging="360"/>
      </w:pPr>
      <w:rPr>
        <w:rFonts w:hint="default"/>
      </w:rPr>
    </w:lvl>
    <w:lvl w:ilvl="1" w:tplc="D2C8EDC4">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350141"/>
    <w:multiLevelType w:val="hybridMultilevel"/>
    <w:tmpl w:val="B256FB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4F00F7"/>
    <w:multiLevelType w:val="hybridMultilevel"/>
    <w:tmpl w:val="6EC27A7E"/>
    <w:lvl w:ilvl="0" w:tplc="001CA12E">
      <w:start w:val="1"/>
      <w:numFmt w:val="lowerRoman"/>
      <w:lvlText w:val="   (%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98516D"/>
    <w:multiLevelType w:val="hybridMultilevel"/>
    <w:tmpl w:val="EFB49682"/>
    <w:lvl w:ilvl="0" w:tplc="B5E8362E">
      <w:start w:val="1"/>
      <w:numFmt w:val="decimal"/>
      <w:lvlText w:val="1.%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1737702">
    <w:abstractNumId w:val="11"/>
  </w:num>
  <w:num w:numId="2" w16cid:durableId="1549029489">
    <w:abstractNumId w:val="2"/>
  </w:num>
  <w:num w:numId="3" w16cid:durableId="794104728">
    <w:abstractNumId w:val="5"/>
  </w:num>
  <w:num w:numId="4" w16cid:durableId="1506675935">
    <w:abstractNumId w:val="14"/>
  </w:num>
  <w:num w:numId="5" w16cid:durableId="85005820">
    <w:abstractNumId w:val="13"/>
  </w:num>
  <w:num w:numId="6" w16cid:durableId="1375345767">
    <w:abstractNumId w:val="3"/>
  </w:num>
  <w:num w:numId="7" w16cid:durableId="1255942330">
    <w:abstractNumId w:val="9"/>
  </w:num>
  <w:num w:numId="8" w16cid:durableId="717968839">
    <w:abstractNumId w:val="7"/>
  </w:num>
  <w:num w:numId="9" w16cid:durableId="109783079">
    <w:abstractNumId w:val="10"/>
  </w:num>
  <w:num w:numId="10" w16cid:durableId="260534262">
    <w:abstractNumId w:val="15"/>
  </w:num>
  <w:num w:numId="11" w16cid:durableId="929462394">
    <w:abstractNumId w:val="4"/>
  </w:num>
  <w:num w:numId="12" w16cid:durableId="874317826">
    <w:abstractNumId w:val="1"/>
  </w:num>
  <w:num w:numId="13" w16cid:durableId="2003116435">
    <w:abstractNumId w:val="8"/>
  </w:num>
  <w:num w:numId="14" w16cid:durableId="584146106">
    <w:abstractNumId w:val="12"/>
  </w:num>
  <w:num w:numId="15" w16cid:durableId="698242735">
    <w:abstractNumId w:val="6"/>
  </w:num>
  <w:num w:numId="16" w16cid:durableId="146630899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evenAndOddHeaders/>
  <w:drawingGridHorizontalSpacing w:val="110"/>
  <w:displayHorizontalDrawingGridEvery w:val="2"/>
  <w:characterSpacingControl w:val="doNotCompress"/>
  <w:hdrShapeDefaults>
    <o:shapedefaults v:ext="edit" spidmax="2066"/>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7397"/>
    <w:rsid w:val="00031328"/>
    <w:rsid w:val="00037068"/>
    <w:rsid w:val="000773C4"/>
    <w:rsid w:val="00084804"/>
    <w:rsid w:val="0008723A"/>
    <w:rsid w:val="0009261D"/>
    <w:rsid w:val="000B41DD"/>
    <w:rsid w:val="000C1151"/>
    <w:rsid w:val="000C604D"/>
    <w:rsid w:val="000E1298"/>
    <w:rsid w:val="000E7AFF"/>
    <w:rsid w:val="001020B4"/>
    <w:rsid w:val="00114454"/>
    <w:rsid w:val="00131A8F"/>
    <w:rsid w:val="0017090A"/>
    <w:rsid w:val="001771CA"/>
    <w:rsid w:val="001822AB"/>
    <w:rsid w:val="001F6C3F"/>
    <w:rsid w:val="00220BF6"/>
    <w:rsid w:val="002573C8"/>
    <w:rsid w:val="00264796"/>
    <w:rsid w:val="002830D5"/>
    <w:rsid w:val="002A1853"/>
    <w:rsid w:val="002B6915"/>
    <w:rsid w:val="002E382E"/>
    <w:rsid w:val="00356AEF"/>
    <w:rsid w:val="00396B58"/>
    <w:rsid w:val="003B461F"/>
    <w:rsid w:val="0040498E"/>
    <w:rsid w:val="00414E2D"/>
    <w:rsid w:val="004360C5"/>
    <w:rsid w:val="00446A9A"/>
    <w:rsid w:val="0046433B"/>
    <w:rsid w:val="004734DE"/>
    <w:rsid w:val="00497C7F"/>
    <w:rsid w:val="004E315B"/>
    <w:rsid w:val="004E7855"/>
    <w:rsid w:val="004F0442"/>
    <w:rsid w:val="004F2079"/>
    <w:rsid w:val="004F2B8B"/>
    <w:rsid w:val="00504CCC"/>
    <w:rsid w:val="0052279F"/>
    <w:rsid w:val="005233D0"/>
    <w:rsid w:val="00525E38"/>
    <w:rsid w:val="00562DC1"/>
    <w:rsid w:val="00570153"/>
    <w:rsid w:val="0057097D"/>
    <w:rsid w:val="00582647"/>
    <w:rsid w:val="00586263"/>
    <w:rsid w:val="00594FCF"/>
    <w:rsid w:val="005A0488"/>
    <w:rsid w:val="005B4F04"/>
    <w:rsid w:val="005D0C51"/>
    <w:rsid w:val="006327BD"/>
    <w:rsid w:val="006378FB"/>
    <w:rsid w:val="00640528"/>
    <w:rsid w:val="006621E8"/>
    <w:rsid w:val="00673F25"/>
    <w:rsid w:val="0068210C"/>
    <w:rsid w:val="00697770"/>
    <w:rsid w:val="006B046D"/>
    <w:rsid w:val="006F1310"/>
    <w:rsid w:val="00720070"/>
    <w:rsid w:val="00724F06"/>
    <w:rsid w:val="00731453"/>
    <w:rsid w:val="00752DAC"/>
    <w:rsid w:val="007B1E69"/>
    <w:rsid w:val="007C2F31"/>
    <w:rsid w:val="007D36B6"/>
    <w:rsid w:val="00814CE5"/>
    <w:rsid w:val="00860DC4"/>
    <w:rsid w:val="008968BF"/>
    <w:rsid w:val="0089786C"/>
    <w:rsid w:val="00897CC6"/>
    <w:rsid w:val="008A2A88"/>
    <w:rsid w:val="008B59E1"/>
    <w:rsid w:val="008C1555"/>
    <w:rsid w:val="008F0D34"/>
    <w:rsid w:val="008F3ABA"/>
    <w:rsid w:val="008F42AE"/>
    <w:rsid w:val="00900DD8"/>
    <w:rsid w:val="009355C5"/>
    <w:rsid w:val="0094242A"/>
    <w:rsid w:val="00946D28"/>
    <w:rsid w:val="009550C1"/>
    <w:rsid w:val="00957DC8"/>
    <w:rsid w:val="00974231"/>
    <w:rsid w:val="0099662F"/>
    <w:rsid w:val="009D7533"/>
    <w:rsid w:val="009F109A"/>
    <w:rsid w:val="009F1DDF"/>
    <w:rsid w:val="009F3763"/>
    <w:rsid w:val="00A02182"/>
    <w:rsid w:val="00A0290F"/>
    <w:rsid w:val="00A0796A"/>
    <w:rsid w:val="00A830F9"/>
    <w:rsid w:val="00AA2914"/>
    <w:rsid w:val="00AC51C0"/>
    <w:rsid w:val="00AD5BEB"/>
    <w:rsid w:val="00B0244A"/>
    <w:rsid w:val="00B21653"/>
    <w:rsid w:val="00B430B0"/>
    <w:rsid w:val="00B705E3"/>
    <w:rsid w:val="00B824B3"/>
    <w:rsid w:val="00B91C58"/>
    <w:rsid w:val="00B9422E"/>
    <w:rsid w:val="00B94611"/>
    <w:rsid w:val="00BA5833"/>
    <w:rsid w:val="00BB4E30"/>
    <w:rsid w:val="00BC09CA"/>
    <w:rsid w:val="00BC7D7A"/>
    <w:rsid w:val="00BE7F50"/>
    <w:rsid w:val="00BF1CCD"/>
    <w:rsid w:val="00C240C5"/>
    <w:rsid w:val="00C42D36"/>
    <w:rsid w:val="00C542CA"/>
    <w:rsid w:val="00C73A23"/>
    <w:rsid w:val="00C81ACC"/>
    <w:rsid w:val="00C845EE"/>
    <w:rsid w:val="00C9280E"/>
    <w:rsid w:val="00CA0FDE"/>
    <w:rsid w:val="00CC47B1"/>
    <w:rsid w:val="00CC6110"/>
    <w:rsid w:val="00CF779C"/>
    <w:rsid w:val="00D91546"/>
    <w:rsid w:val="00D93F00"/>
    <w:rsid w:val="00DC618C"/>
    <w:rsid w:val="00DD1DE5"/>
    <w:rsid w:val="00DF184E"/>
    <w:rsid w:val="00E00B01"/>
    <w:rsid w:val="00E13EF8"/>
    <w:rsid w:val="00E20683"/>
    <w:rsid w:val="00E2150F"/>
    <w:rsid w:val="00E258A4"/>
    <w:rsid w:val="00E328AC"/>
    <w:rsid w:val="00E41DFC"/>
    <w:rsid w:val="00E525FB"/>
    <w:rsid w:val="00E876C8"/>
    <w:rsid w:val="00EB5687"/>
    <w:rsid w:val="00ED53EF"/>
    <w:rsid w:val="00EF61B2"/>
    <w:rsid w:val="00F114AF"/>
    <w:rsid w:val="00F37397"/>
    <w:rsid w:val="00F4095E"/>
    <w:rsid w:val="00F4122C"/>
    <w:rsid w:val="00F4672C"/>
    <w:rsid w:val="00F50DA6"/>
    <w:rsid w:val="00F63244"/>
    <w:rsid w:val="00FA3459"/>
    <w:rsid w:val="00FB05CC"/>
    <w:rsid w:val="00FB1014"/>
    <w:rsid w:val="00FB18C8"/>
    <w:rsid w:val="00FC228F"/>
    <w:rsid w:val="00FD40F3"/>
    <w:rsid w:val="00FF10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rules v:ext="edit">
        <o:r id="V:Rule1" type="connector" idref="#_x0000_s2063"/>
        <o:r id="V:Rule2" type="connector" idref="#_x0000_s2064"/>
      </o:rules>
    </o:shapelayout>
  </w:shapeDefaults>
  <w:decimalSymbol w:val="."/>
  <w:listSeparator w:val=","/>
  <w14:docId w14:val="4AADA102"/>
  <w15:docId w15:val="{BD62142A-983C-4C94-87E8-5DAF546D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763"/>
  </w:style>
  <w:style w:type="paragraph" w:styleId="Heading1">
    <w:name w:val="heading 1"/>
    <w:basedOn w:val="Normal"/>
    <w:link w:val="Heading1Char"/>
    <w:uiPriority w:val="9"/>
    <w:qFormat/>
    <w:rsid w:val="00F373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39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F373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37397"/>
    <w:rPr>
      <w:i/>
      <w:iCs/>
    </w:rPr>
  </w:style>
  <w:style w:type="character" w:customStyle="1" w:styleId="apple-converted-space">
    <w:name w:val="apple-converted-space"/>
    <w:basedOn w:val="DefaultParagraphFont"/>
    <w:rsid w:val="00F37397"/>
  </w:style>
  <w:style w:type="character" w:styleId="Hyperlink">
    <w:name w:val="Hyperlink"/>
    <w:basedOn w:val="DefaultParagraphFont"/>
    <w:uiPriority w:val="99"/>
    <w:unhideWhenUsed/>
    <w:rsid w:val="00F37397"/>
    <w:rPr>
      <w:color w:val="0000FF"/>
      <w:u w:val="single"/>
    </w:rPr>
  </w:style>
  <w:style w:type="character" w:styleId="Strong">
    <w:name w:val="Strong"/>
    <w:basedOn w:val="DefaultParagraphFont"/>
    <w:uiPriority w:val="22"/>
    <w:qFormat/>
    <w:rsid w:val="00F37397"/>
    <w:rPr>
      <w:b/>
      <w:bCs/>
    </w:rPr>
  </w:style>
  <w:style w:type="paragraph" w:styleId="ListParagraph">
    <w:name w:val="List Paragraph"/>
    <w:basedOn w:val="Normal"/>
    <w:uiPriority w:val="34"/>
    <w:qFormat/>
    <w:rsid w:val="00FB05CC"/>
    <w:pPr>
      <w:ind w:left="720"/>
      <w:contextualSpacing/>
    </w:pPr>
  </w:style>
  <w:style w:type="paragraph" w:styleId="NoSpacing">
    <w:name w:val="No Spacing"/>
    <w:link w:val="NoSpacingChar"/>
    <w:uiPriority w:val="1"/>
    <w:qFormat/>
    <w:rsid w:val="008F42AE"/>
    <w:pPr>
      <w:spacing w:after="0" w:line="240" w:lineRule="auto"/>
    </w:pPr>
  </w:style>
  <w:style w:type="paragraph" w:styleId="Header">
    <w:name w:val="header"/>
    <w:basedOn w:val="Normal"/>
    <w:link w:val="HeaderChar"/>
    <w:uiPriority w:val="99"/>
    <w:unhideWhenUsed/>
    <w:rsid w:val="00177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1CA"/>
  </w:style>
  <w:style w:type="paragraph" w:styleId="Footer">
    <w:name w:val="footer"/>
    <w:basedOn w:val="Normal"/>
    <w:link w:val="FooterChar"/>
    <w:uiPriority w:val="99"/>
    <w:unhideWhenUsed/>
    <w:rsid w:val="00177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1CA"/>
  </w:style>
  <w:style w:type="paragraph" w:styleId="BalloonText">
    <w:name w:val="Balloon Text"/>
    <w:basedOn w:val="Normal"/>
    <w:link w:val="BalloonTextChar"/>
    <w:uiPriority w:val="99"/>
    <w:semiHidden/>
    <w:unhideWhenUsed/>
    <w:rsid w:val="00177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1CA"/>
    <w:rPr>
      <w:rFonts w:ascii="Tahoma" w:hAnsi="Tahoma" w:cs="Tahoma"/>
      <w:sz w:val="16"/>
      <w:szCs w:val="16"/>
    </w:rPr>
  </w:style>
  <w:style w:type="character" w:customStyle="1" w:styleId="NoSpacingChar">
    <w:name w:val="No Spacing Char"/>
    <w:basedOn w:val="DefaultParagraphFont"/>
    <w:link w:val="NoSpacing"/>
    <w:uiPriority w:val="1"/>
    <w:rsid w:val="00EB5687"/>
  </w:style>
  <w:style w:type="character" w:styleId="FollowedHyperlink">
    <w:name w:val="FollowedHyperlink"/>
    <w:basedOn w:val="DefaultParagraphFont"/>
    <w:uiPriority w:val="99"/>
    <w:semiHidden/>
    <w:unhideWhenUsed/>
    <w:rsid w:val="005701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86711">
      <w:bodyDiv w:val="1"/>
      <w:marLeft w:val="0"/>
      <w:marRight w:val="0"/>
      <w:marTop w:val="0"/>
      <w:marBottom w:val="0"/>
      <w:divBdr>
        <w:top w:val="none" w:sz="0" w:space="0" w:color="auto"/>
        <w:left w:val="none" w:sz="0" w:space="0" w:color="auto"/>
        <w:bottom w:val="none" w:sz="0" w:space="0" w:color="auto"/>
        <w:right w:val="none" w:sz="0" w:space="0" w:color="auto"/>
      </w:divBdr>
    </w:div>
    <w:div w:id="1186212709">
      <w:bodyDiv w:val="1"/>
      <w:marLeft w:val="0"/>
      <w:marRight w:val="0"/>
      <w:marTop w:val="0"/>
      <w:marBottom w:val="0"/>
      <w:divBdr>
        <w:top w:val="none" w:sz="0" w:space="0" w:color="auto"/>
        <w:left w:val="none" w:sz="0" w:space="0" w:color="auto"/>
        <w:bottom w:val="none" w:sz="0" w:space="0" w:color="auto"/>
        <w:right w:val="none" w:sz="0" w:space="0" w:color="auto"/>
      </w:divBdr>
    </w:div>
    <w:div w:id="1800876401">
      <w:bodyDiv w:val="1"/>
      <w:marLeft w:val="0"/>
      <w:marRight w:val="0"/>
      <w:marTop w:val="0"/>
      <w:marBottom w:val="0"/>
      <w:divBdr>
        <w:top w:val="none" w:sz="0" w:space="0" w:color="auto"/>
        <w:left w:val="none" w:sz="0" w:space="0" w:color="auto"/>
        <w:bottom w:val="none" w:sz="0" w:space="0" w:color="auto"/>
        <w:right w:val="none" w:sz="0" w:space="0" w:color="auto"/>
      </w:divBdr>
      <w:divsChild>
        <w:div w:id="242878347">
          <w:marLeft w:val="0"/>
          <w:marRight w:val="0"/>
          <w:marTop w:val="0"/>
          <w:marBottom w:val="443"/>
          <w:divBdr>
            <w:top w:val="none" w:sz="0" w:space="0" w:color="auto"/>
            <w:left w:val="single" w:sz="48" w:space="11" w:color="D7463F"/>
            <w:bottom w:val="none" w:sz="0" w:space="0" w:color="auto"/>
            <w:right w:val="none" w:sz="0" w:space="0" w:color="auto"/>
          </w:divBdr>
        </w:div>
        <w:div w:id="169830493">
          <w:marLeft w:val="0"/>
          <w:marRight w:val="0"/>
          <w:marTop w:val="0"/>
          <w:marBottom w:val="0"/>
          <w:divBdr>
            <w:top w:val="none" w:sz="0" w:space="0" w:color="auto"/>
            <w:left w:val="none" w:sz="0" w:space="0" w:color="auto"/>
            <w:bottom w:val="none" w:sz="0" w:space="0" w:color="auto"/>
            <w:right w:val="none" w:sz="0" w:space="0" w:color="auto"/>
          </w:divBdr>
          <w:divsChild>
            <w:div w:id="16509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cfhe.gov.mt/en/services/Pages/All%20Services/mqric.asp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0C5F99-F06A-4360-85B0-DACB1F2DF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16</Pages>
  <Words>3043</Words>
  <Characters>17349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Mark Agius</cp:lastModifiedBy>
  <cp:revision>36</cp:revision>
  <cp:lastPrinted>2016-08-13T18:40:00Z</cp:lastPrinted>
  <dcterms:created xsi:type="dcterms:W3CDTF">2016-08-13T18:29:00Z</dcterms:created>
  <dcterms:modified xsi:type="dcterms:W3CDTF">2022-07-08T08:26:00Z</dcterms:modified>
</cp:coreProperties>
</file>